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3C1DC9"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3C1DC9" w:rsidP="009078CB">
            <w:pPr>
              <w:pStyle w:val="ekvkapit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431039" w:rsidRPr="00431039"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3C1DC9" w:rsidRDefault="003C1DC9" w:rsidP="007E24A3">
      <w:pPr>
        <w:pStyle w:val="ekvue2arial"/>
      </w:pPr>
      <w:bookmarkStart w:id="0" w:name="bmStart"/>
      <w:bookmarkEnd w:id="0"/>
      <w:r w:rsidRPr="003C1DC9">
        <w:t>Stufen d</w:t>
      </w:r>
      <w:r w:rsidR="007E24A3">
        <w:t>er wirtschaftlichen Entwicklung</w:t>
      </w:r>
    </w:p>
    <w:p w:rsidR="007E24A3" w:rsidRPr="003C1DC9" w:rsidRDefault="007E24A3" w:rsidP="007E24A3">
      <w:bookmarkStart w:id="1" w:name="_GoBack"/>
      <w:bookmarkEnd w:id="1"/>
    </w:p>
    <w:p w:rsidR="003C1DC9" w:rsidRPr="003C1DC9" w:rsidRDefault="003C1DC9" w:rsidP="007E24A3">
      <w:pPr>
        <w:pStyle w:val="ekvaufzhlung"/>
      </w:pPr>
      <w:r w:rsidRPr="007E24A3">
        <w:rPr>
          <w:rStyle w:val="ekvnummerierung"/>
        </w:rPr>
        <w:t>1</w:t>
      </w:r>
      <w:r w:rsidR="007E24A3">
        <w:tab/>
      </w:r>
      <w:r w:rsidRPr="003C1DC9">
        <w:t xml:space="preserve">Fülle die </w:t>
      </w:r>
      <w:r w:rsidRPr="00431039">
        <w:rPr>
          <w:rStyle w:val="ekvarbeitsanweisungdeutsch"/>
        </w:rPr>
        <w:t>Lücken</w:t>
      </w:r>
      <w:r w:rsidRPr="003C1DC9">
        <w:t xml:space="preserve"> des Arbeitsblattes mithilfe der </w:t>
      </w:r>
      <w:r w:rsidR="00384B0D" w:rsidRPr="00384B0D">
        <w:t>Inhalte</w:t>
      </w:r>
      <w:r w:rsidR="00384B0D">
        <w:t xml:space="preserve"> </w:t>
      </w:r>
      <w:r w:rsidRPr="003C1DC9">
        <w:t>aus dem Buch (S. 10/11). Recherchiere fehlende Informationen im Internet.</w:t>
      </w:r>
    </w:p>
    <w:p w:rsidR="003C1DC9" w:rsidRPr="003C1DC9" w:rsidRDefault="003C1DC9" w:rsidP="003C1DC9"/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24"/>
        <w:gridCol w:w="2324"/>
        <w:gridCol w:w="2324"/>
      </w:tblGrid>
      <w:tr w:rsidR="00431039" w:rsidRPr="003C1DC9" w:rsidTr="0040637D">
        <w:tc>
          <w:tcPr>
            <w:tcW w:w="2381" w:type="dxa"/>
            <w:shd w:val="clear" w:color="auto" w:fill="D9D9D9" w:themeFill="background1" w:themeFillShade="D9"/>
          </w:tcPr>
          <w:p w:rsidR="003C1DC9" w:rsidRPr="00D36CF6" w:rsidRDefault="003C1DC9" w:rsidP="00D36CF6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Zeitraum/Wirtschaftliche Entwicklung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Erläuterung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Entwicklung zur nächsten Stufe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DC9" w:rsidRPr="00D36CF6" w:rsidRDefault="003C1DC9" w:rsidP="003C1DC9">
            <w:pPr>
              <w:rPr>
                <w:rStyle w:val="ekvfett"/>
              </w:rPr>
            </w:pPr>
            <w:r w:rsidRPr="00D36CF6">
              <w:rPr>
                <w:rStyle w:val="ekvfett"/>
              </w:rPr>
              <w:t>Folgen</w:t>
            </w:r>
          </w:p>
        </w:tc>
      </w:tr>
      <w:tr w:rsidR="00431039" w:rsidRPr="003C1DC9" w:rsidTr="006E6EB9">
        <w:trPr>
          <w:trHeight w:val="2608"/>
        </w:trPr>
        <w:tc>
          <w:tcPr>
            <w:tcW w:w="2381" w:type="dxa"/>
          </w:tcPr>
          <w:p w:rsidR="003C1DC9" w:rsidRDefault="003C1DC9" w:rsidP="003C1DC9">
            <w:r w:rsidRPr="003C1DC9">
              <w:t>Ab ca. 10 000 v. Chr.</w:t>
            </w:r>
          </w:p>
          <w:p w:rsidR="00C213F9" w:rsidRDefault="00C213F9" w:rsidP="00431039">
            <w:pPr>
              <w:rPr>
                <w:lang w:eastAsia="de-DE"/>
              </w:rPr>
            </w:pPr>
          </w:p>
          <w:p w:rsidR="00C213F9" w:rsidRPr="003C1DC9" w:rsidRDefault="00C213F9" w:rsidP="00C213F9">
            <w:pPr>
              <w:pStyle w:val="ekvbild"/>
            </w:pPr>
            <w:r w:rsidRPr="00D109AF">
              <w:rPr>
                <w:lang w:eastAsia="de-DE"/>
              </w:rPr>
              <w:drawing>
                <wp:inline distT="0" distB="0" distL="0" distR="0" wp14:anchorId="7313865A" wp14:editId="4F16231B">
                  <wp:extent cx="1108945" cy="74000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945" cy="7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Agrarwirtschaft: Beginn in Mesopotamien; Ausbreitung über Ägypten nach Europa;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auf dem Land: Selbstversorgung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in den urbanen Zentren: Fremd</w:t>
            </w:r>
            <w:r w:rsidR="00A7006C">
              <w:t>-</w:t>
            </w:r>
            <w:r w:rsidR="003C1DC9" w:rsidRPr="0087227E">
              <w:t>versorgung, Arbeits</w:t>
            </w:r>
            <w:r w:rsidR="00A7006C">
              <w:t>-</w:t>
            </w:r>
            <w:r w:rsidR="003C1DC9" w:rsidRPr="0087227E">
              <w:t>teilung</w:t>
            </w:r>
          </w:p>
        </w:tc>
        <w:tc>
          <w:tcPr>
            <w:tcW w:w="2324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Fremdversorgung ermöglicht der politischen Elite die Kontrolle der sesshaft gewordenen Menschen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Herausbildung einer neuen wirtschaftlichen und politischen Hierarchie</w:t>
            </w:r>
          </w:p>
        </w:tc>
        <w:tc>
          <w:tcPr>
            <w:tcW w:w="2324" w:type="dxa"/>
          </w:tcPr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Entwicklung eines Hofstaates, des Standes der Priester und der Künstlerschaft um die politische Elite herum</w:t>
            </w:r>
          </w:p>
          <w:p w:rsidR="003C1DC9" w:rsidRPr="0087227E" w:rsidRDefault="0087227E" w:rsidP="0087227E">
            <w:r w:rsidRPr="006A5611">
              <w:rPr>
                <w:rStyle w:val="ekvsymbolaufzhlung"/>
              </w:rPr>
              <w:sym w:font="Wingdings" w:char="F06C"/>
            </w:r>
            <w:r w:rsidRPr="00C17BE6">
              <w:tab/>
            </w:r>
            <w:r w:rsidR="003C1DC9" w:rsidRPr="0087227E">
              <w:t>Arbeitsteilung und berufliche Spezialisierung</w:t>
            </w:r>
          </w:p>
        </w:tc>
      </w:tr>
      <w:tr w:rsidR="00431039" w:rsidRPr="003C1DC9" w:rsidTr="006E6EB9">
        <w:trPr>
          <w:trHeight w:val="2551"/>
        </w:trPr>
        <w:tc>
          <w:tcPr>
            <w:tcW w:w="2381" w:type="dxa"/>
          </w:tcPr>
          <w:p w:rsidR="003C1DC9" w:rsidRDefault="003C1DC9" w:rsidP="003C1DC9">
            <w:r w:rsidRPr="003C1DC9">
              <w:t>Bis zum 18. Jh.</w:t>
            </w:r>
          </w:p>
          <w:p w:rsidR="00687592" w:rsidRPr="003C1DC9" w:rsidRDefault="00687592" w:rsidP="003C1DC9"/>
          <w:p w:rsidR="003C1DC9" w:rsidRPr="00D975E4" w:rsidRDefault="00687592" w:rsidP="00D975E4">
            <w:pPr>
              <w:pStyle w:val="ekvbild"/>
            </w:pPr>
            <w:r w:rsidRPr="00D109AF">
              <w:rPr>
                <w:lang w:eastAsia="de-DE"/>
              </w:rPr>
              <w:drawing>
                <wp:inline distT="0" distB="0" distL="0" distR="0" wp14:anchorId="1F4D98C1" wp14:editId="7EE9E4B3">
                  <wp:extent cx="1293083" cy="685110"/>
                  <wp:effectExtent l="0" t="0" r="254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83" cy="68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</w:tr>
      <w:tr w:rsidR="00431039" w:rsidRPr="003C1DC9" w:rsidTr="006E6EB9">
        <w:trPr>
          <w:trHeight w:val="3402"/>
        </w:trPr>
        <w:tc>
          <w:tcPr>
            <w:tcW w:w="2381" w:type="dxa"/>
          </w:tcPr>
          <w:p w:rsidR="003C1DC9" w:rsidRDefault="003C1DC9" w:rsidP="003C1DC9">
            <w:r w:rsidRPr="003C1DC9">
              <w:t>Ab dem 18. Jh.</w:t>
            </w:r>
          </w:p>
          <w:p w:rsidR="0059307F" w:rsidRPr="003C1DC9" w:rsidRDefault="0059307F" w:rsidP="003C1DC9"/>
          <w:p w:rsidR="003C1DC9" w:rsidRDefault="0059307F" w:rsidP="0059307F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6DF796E5" wp14:editId="4E64B05F">
                  <wp:extent cx="1250315" cy="833669"/>
                  <wp:effectExtent l="0" t="0" r="698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83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07F" w:rsidRDefault="0059307F" w:rsidP="0059307F">
            <w:pPr>
              <w:pStyle w:val="ekvbild"/>
            </w:pPr>
          </w:p>
          <w:p w:rsidR="0059307F" w:rsidRPr="003C1DC9" w:rsidRDefault="0059307F" w:rsidP="0059307F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07CF1CFC" wp14:editId="2F979550">
                  <wp:extent cx="1108939" cy="7747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939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</w:tr>
      <w:tr w:rsidR="00431039" w:rsidRPr="003C1DC9" w:rsidTr="006E6EB9">
        <w:trPr>
          <w:trHeight w:val="2835"/>
        </w:trPr>
        <w:tc>
          <w:tcPr>
            <w:tcW w:w="2381" w:type="dxa"/>
          </w:tcPr>
          <w:p w:rsidR="003C1DC9" w:rsidRDefault="003C1DC9" w:rsidP="003C1DC9">
            <w:r w:rsidRPr="003C1DC9">
              <w:t>Bis heute</w:t>
            </w:r>
          </w:p>
          <w:p w:rsidR="007D09E7" w:rsidRPr="003C1DC9" w:rsidRDefault="007D09E7" w:rsidP="003C1DC9"/>
          <w:p w:rsidR="003C1DC9" w:rsidRPr="003C1DC9" w:rsidRDefault="007D09E7" w:rsidP="007D09E7">
            <w:pPr>
              <w:pStyle w:val="ekvbild"/>
            </w:pPr>
            <w:r w:rsidRPr="00431039">
              <w:rPr>
                <w:lang w:eastAsia="de-DE"/>
              </w:rPr>
              <w:drawing>
                <wp:inline distT="0" distB="0" distL="0" distR="0" wp14:anchorId="6547E684" wp14:editId="12634899">
                  <wp:extent cx="1177290" cy="1177290"/>
                  <wp:effectExtent l="0" t="0" r="381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  <w:tc>
          <w:tcPr>
            <w:tcW w:w="2324" w:type="dxa"/>
          </w:tcPr>
          <w:p w:rsidR="003C1DC9" w:rsidRPr="00AE6C53" w:rsidRDefault="003C1DC9" w:rsidP="003C1DC9">
            <w:pPr>
              <w:rPr>
                <w:rStyle w:val="ekvlsung"/>
              </w:rPr>
            </w:pPr>
          </w:p>
        </w:tc>
      </w:tr>
    </w:tbl>
    <w:p w:rsidR="003C1DC9" w:rsidRPr="003C1DC9" w:rsidRDefault="003C1DC9" w:rsidP="00D5369A">
      <w:pPr>
        <w:pStyle w:val="ekvgrundtexthalbe"/>
      </w:pPr>
    </w:p>
    <w:sectPr w:rsidR="003C1DC9" w:rsidRPr="003C1DC9" w:rsidSect="00EC1F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FE" w:rsidRDefault="00CB0CFE" w:rsidP="003C599D">
      <w:pPr>
        <w:spacing w:line="240" w:lineRule="auto"/>
      </w:pPr>
      <w:r>
        <w:separator/>
      </w:r>
    </w:p>
  </w:endnote>
  <w:endnote w:type="continuationSeparator" w:id="0">
    <w:p w:rsidR="00CB0CFE" w:rsidRDefault="00CB0CF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6" w:rsidRDefault="00BA3B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50984CE" wp14:editId="5938829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BA3BD6">
          <w:pPr>
            <w:pStyle w:val="ekvpagina"/>
          </w:pPr>
          <w:r w:rsidRPr="00913892">
            <w:t>© Ernst Klett Verlag GmbH, Stuttgart 20</w:t>
          </w:r>
          <w:r w:rsidR="00BA3BD6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BB4459" w:rsidP="004136AD">
          <w:pPr>
            <w:pStyle w:val="ekvquelle"/>
          </w:pPr>
          <w:r w:rsidRPr="00BB4459">
            <w:t xml:space="preserve">Bildquellen: 1 stock.adobe.com (Kitty), Dublin; 2 akg-images, Berlin; 3 ShutterStock.com RF (DutchScenery), New York, NY; </w:t>
          </w:r>
          <w:r>
            <w:br/>
          </w:r>
          <w:r w:rsidRPr="00BB4459">
            <w:t>4 Ullstein Bild GmbH (ullstein Bild), Berlin; 5 Fotolia.com (TAlex), New York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6" w:rsidRDefault="00BA3B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FE" w:rsidRDefault="00CB0CFE" w:rsidP="003C599D">
      <w:pPr>
        <w:spacing w:line="240" w:lineRule="auto"/>
      </w:pPr>
      <w:r>
        <w:separator/>
      </w:r>
    </w:p>
  </w:footnote>
  <w:footnote w:type="continuationSeparator" w:id="0">
    <w:p w:rsidR="00CB0CFE" w:rsidRDefault="00CB0CFE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6" w:rsidRDefault="00BA3B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6" w:rsidRDefault="00BA3B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D6" w:rsidRDefault="00BA3B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D"/>
    <w:rsid w:val="000026A0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1FF1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2E52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EC6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84B0D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DC9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0637D"/>
    <w:rsid w:val="00411B18"/>
    <w:rsid w:val="004136AD"/>
    <w:rsid w:val="00415565"/>
    <w:rsid w:val="00415632"/>
    <w:rsid w:val="00415683"/>
    <w:rsid w:val="00415B5B"/>
    <w:rsid w:val="0042107E"/>
    <w:rsid w:val="004236D5"/>
    <w:rsid w:val="00424375"/>
    <w:rsid w:val="00431039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56A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1C6C"/>
    <w:rsid w:val="00503EE6"/>
    <w:rsid w:val="005069C1"/>
    <w:rsid w:val="00510F4C"/>
    <w:rsid w:val="0051309F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5595"/>
    <w:rsid w:val="00576D2D"/>
    <w:rsid w:val="00583FC8"/>
    <w:rsid w:val="00584F88"/>
    <w:rsid w:val="0058787B"/>
    <w:rsid w:val="00587DF4"/>
    <w:rsid w:val="0059307F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3835"/>
    <w:rsid w:val="00627765"/>
    <w:rsid w:val="00627A02"/>
    <w:rsid w:val="0064692C"/>
    <w:rsid w:val="00653F68"/>
    <w:rsid w:val="00661C54"/>
    <w:rsid w:val="0066773A"/>
    <w:rsid w:val="006802C4"/>
    <w:rsid w:val="0068429A"/>
    <w:rsid w:val="00685FDD"/>
    <w:rsid w:val="00687592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3C9E"/>
    <w:rsid w:val="006D45BB"/>
    <w:rsid w:val="006D49F0"/>
    <w:rsid w:val="006D7F2E"/>
    <w:rsid w:val="006E057C"/>
    <w:rsid w:val="006E235E"/>
    <w:rsid w:val="006E6A74"/>
    <w:rsid w:val="006E6EB9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0BB5"/>
    <w:rsid w:val="00750FDE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09E7"/>
    <w:rsid w:val="007D186F"/>
    <w:rsid w:val="007E24A3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240"/>
    <w:rsid w:val="008576F6"/>
    <w:rsid w:val="00857713"/>
    <w:rsid w:val="00862C21"/>
    <w:rsid w:val="0087227E"/>
    <w:rsid w:val="00874376"/>
    <w:rsid w:val="00882053"/>
    <w:rsid w:val="00891BBB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FCB"/>
    <w:rsid w:val="008E4B7A"/>
    <w:rsid w:val="008E6248"/>
    <w:rsid w:val="008F6EDE"/>
    <w:rsid w:val="008F7247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2F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66DF7"/>
    <w:rsid w:val="00A7006C"/>
    <w:rsid w:val="00A701AF"/>
    <w:rsid w:val="00A7137C"/>
    <w:rsid w:val="00A75504"/>
    <w:rsid w:val="00A83EBE"/>
    <w:rsid w:val="00A856D4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E6C53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4C0D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3BD6"/>
    <w:rsid w:val="00BB2F2F"/>
    <w:rsid w:val="00BB4459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294C"/>
    <w:rsid w:val="00C172AE"/>
    <w:rsid w:val="00C17BE6"/>
    <w:rsid w:val="00C213F9"/>
    <w:rsid w:val="00C343F5"/>
    <w:rsid w:val="00C35D4D"/>
    <w:rsid w:val="00C40555"/>
    <w:rsid w:val="00C40D51"/>
    <w:rsid w:val="00C429A6"/>
    <w:rsid w:val="00C45D3B"/>
    <w:rsid w:val="00C45E0A"/>
    <w:rsid w:val="00C46BF4"/>
    <w:rsid w:val="00C504F8"/>
    <w:rsid w:val="00C52804"/>
    <w:rsid w:val="00C52A99"/>
    <w:rsid w:val="00C52AB7"/>
    <w:rsid w:val="00C55E85"/>
    <w:rsid w:val="00C61654"/>
    <w:rsid w:val="00C67987"/>
    <w:rsid w:val="00C70F84"/>
    <w:rsid w:val="00C727B3"/>
    <w:rsid w:val="00C72BA2"/>
    <w:rsid w:val="00C84E20"/>
    <w:rsid w:val="00C84E4C"/>
    <w:rsid w:val="00C87044"/>
    <w:rsid w:val="00C94D17"/>
    <w:rsid w:val="00CB0CFE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09AF"/>
    <w:rsid w:val="00D125BD"/>
    <w:rsid w:val="00D12661"/>
    <w:rsid w:val="00D14F61"/>
    <w:rsid w:val="00D1582D"/>
    <w:rsid w:val="00D165EA"/>
    <w:rsid w:val="00D2569D"/>
    <w:rsid w:val="00D27A1B"/>
    <w:rsid w:val="00D34DC1"/>
    <w:rsid w:val="00D36CF6"/>
    <w:rsid w:val="00D403F7"/>
    <w:rsid w:val="00D5369A"/>
    <w:rsid w:val="00D559DE"/>
    <w:rsid w:val="00D56FEB"/>
    <w:rsid w:val="00D61DD0"/>
    <w:rsid w:val="00D62096"/>
    <w:rsid w:val="00D627E5"/>
    <w:rsid w:val="00D649B5"/>
    <w:rsid w:val="00D66390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75E4"/>
    <w:rsid w:val="00DA1633"/>
    <w:rsid w:val="00DA29C3"/>
    <w:rsid w:val="00DA6422"/>
    <w:rsid w:val="00DB0557"/>
    <w:rsid w:val="00DB2C80"/>
    <w:rsid w:val="00DB5766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20D"/>
    <w:rsid w:val="00E6190A"/>
    <w:rsid w:val="00E63251"/>
    <w:rsid w:val="00E70C40"/>
    <w:rsid w:val="00E710C7"/>
    <w:rsid w:val="00E80DED"/>
    <w:rsid w:val="00E95ED3"/>
    <w:rsid w:val="00EA7542"/>
    <w:rsid w:val="00EA761D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1485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1B18"/>
    <w:rsid w:val="00F72065"/>
    <w:rsid w:val="00F778DC"/>
    <w:rsid w:val="00F849BE"/>
    <w:rsid w:val="00F8783F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0BB2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03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0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03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A244-69FF-42D0-9DA9-E07DB25C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2016-12-23T16:36:00Z</cp:lastPrinted>
  <dcterms:created xsi:type="dcterms:W3CDTF">2020-01-07T07:55:00Z</dcterms:created>
  <dcterms:modified xsi:type="dcterms:W3CDTF">2020-01-15T09:54:00Z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