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3C1DC9"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3C1DC9" w:rsidP="009078CB">
            <w:pPr>
              <w:pStyle w:val="ekvkap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431039" w:rsidRPr="00431039"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3C1DC9" w:rsidRDefault="003C1DC9" w:rsidP="007E24A3">
      <w:pPr>
        <w:pStyle w:val="ekvue2arial"/>
      </w:pPr>
      <w:bookmarkStart w:id="0" w:name="bmStart"/>
      <w:bookmarkEnd w:id="0"/>
      <w:r w:rsidRPr="003C1DC9">
        <w:t>Stufen d</w:t>
      </w:r>
      <w:r w:rsidR="007E24A3">
        <w:t>er wirtschaftlichen Entwicklung</w:t>
      </w:r>
    </w:p>
    <w:p w:rsidR="007E24A3" w:rsidRPr="003C1DC9" w:rsidRDefault="007E24A3" w:rsidP="007E24A3"/>
    <w:p w:rsidR="003C1DC9" w:rsidRPr="003C1DC9" w:rsidRDefault="003C1DC9" w:rsidP="007E24A3">
      <w:pPr>
        <w:pStyle w:val="ekvaufzhlung"/>
      </w:pPr>
      <w:r w:rsidRPr="007E24A3">
        <w:rPr>
          <w:rStyle w:val="ekvnummerierung"/>
        </w:rPr>
        <w:t>1</w:t>
      </w:r>
      <w:r w:rsidR="007E24A3">
        <w:tab/>
      </w:r>
      <w:r w:rsidRPr="003C1DC9">
        <w:t xml:space="preserve">Fülle die </w:t>
      </w:r>
      <w:r w:rsidRPr="00431039">
        <w:rPr>
          <w:rStyle w:val="ekvarbeitsanweisungdeutsch"/>
        </w:rPr>
        <w:t>Lücken</w:t>
      </w:r>
      <w:r w:rsidRPr="003C1DC9">
        <w:t xml:space="preserve"> des Arbeitsblattes mithilfe der </w:t>
      </w:r>
      <w:r w:rsidR="00AD7F0F" w:rsidRPr="00AD7F0F">
        <w:t>Inhalte</w:t>
      </w:r>
      <w:r w:rsidR="00AD7F0F">
        <w:t xml:space="preserve"> </w:t>
      </w:r>
      <w:r w:rsidRPr="003C1DC9">
        <w:t>aus dem Buch (S. 10/11). Recherchiere fehlende Informationen im Internet.</w:t>
      </w:r>
    </w:p>
    <w:p w:rsidR="003C1DC9" w:rsidRPr="003C1DC9" w:rsidRDefault="003C1DC9" w:rsidP="003C1DC9"/>
    <w:tbl>
      <w:tblPr>
        <w:tblStyle w:val="Tabellenraster"/>
        <w:tblW w:w="935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2778"/>
        <w:gridCol w:w="2154"/>
        <w:gridCol w:w="2324"/>
      </w:tblGrid>
      <w:tr w:rsidR="001A14CB" w:rsidRPr="003C1DC9" w:rsidTr="00E6172C">
        <w:trPr>
          <w:trHeight w:val="510"/>
        </w:trPr>
        <w:tc>
          <w:tcPr>
            <w:tcW w:w="2098" w:type="dxa"/>
            <w:shd w:val="clear" w:color="auto" w:fill="D9D9D9" w:themeFill="background1" w:themeFillShade="D9"/>
          </w:tcPr>
          <w:p w:rsidR="003C1DC9" w:rsidRPr="00D36CF6" w:rsidRDefault="003C1DC9" w:rsidP="00D36CF6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Zeitraum/Wirtschaft</w:t>
            </w:r>
            <w:r w:rsidR="008D5A76">
              <w:rPr>
                <w:rStyle w:val="ekvfett"/>
              </w:rPr>
              <w:t>-</w:t>
            </w:r>
            <w:r w:rsidRPr="00D36CF6">
              <w:rPr>
                <w:rStyle w:val="ekvfett"/>
              </w:rPr>
              <w:t>liche Entwicklung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Erläuterung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Entwicklung zur nächsten Stufe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Folgen</w:t>
            </w:r>
          </w:p>
        </w:tc>
      </w:tr>
      <w:tr w:rsidR="00FA2A69" w:rsidRPr="003C1DC9" w:rsidTr="00E6172C">
        <w:trPr>
          <w:trHeight w:val="2324"/>
        </w:trPr>
        <w:tc>
          <w:tcPr>
            <w:tcW w:w="2098" w:type="dxa"/>
          </w:tcPr>
          <w:p w:rsidR="003C1DC9" w:rsidRDefault="003C1DC9" w:rsidP="003C1DC9">
            <w:r w:rsidRPr="003C1DC9">
              <w:t>Ab ca. 10 000 v. Chr.</w:t>
            </w:r>
          </w:p>
          <w:p w:rsidR="00C213F9" w:rsidRDefault="00C213F9" w:rsidP="00431039">
            <w:pPr>
              <w:rPr>
                <w:lang w:eastAsia="de-DE"/>
              </w:rPr>
            </w:pPr>
          </w:p>
          <w:p w:rsidR="00C213F9" w:rsidRPr="003C1DC9" w:rsidRDefault="00C213F9" w:rsidP="00C213F9">
            <w:pPr>
              <w:pStyle w:val="ekvbild"/>
            </w:pPr>
            <w:r w:rsidRPr="00D109AF">
              <w:rPr>
                <w:lang w:eastAsia="de-DE"/>
              </w:rPr>
              <w:drawing>
                <wp:inline distT="0" distB="0" distL="0" distR="0" wp14:anchorId="37DD56DC" wp14:editId="415A142F">
                  <wp:extent cx="1108945" cy="74000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945" cy="7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Agrarwirtschaft: Beginn in Mesopotamien; Ausbreitung über Ägypten nach Europa;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auf dem Land: Selbstversorgung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in den urbanen Zentren: Fremdversorgung, Arbeits</w:t>
            </w:r>
            <w:r w:rsidR="00A7006C">
              <w:t>-</w:t>
            </w:r>
            <w:r w:rsidR="003C1DC9" w:rsidRPr="0087227E">
              <w:t>teilung</w:t>
            </w:r>
          </w:p>
        </w:tc>
        <w:tc>
          <w:tcPr>
            <w:tcW w:w="2154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Fremdversorgung ermöglicht der politischen Elite die Kontrolle der sesshaft gewordenen Menschen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Herausbildung einer neuen wirtschaft</w:t>
            </w:r>
            <w:r w:rsidR="009548CC">
              <w:t>-</w:t>
            </w:r>
            <w:r w:rsidR="003C1DC9" w:rsidRPr="0087227E">
              <w:t>lichen und politischen Hierarchie</w:t>
            </w:r>
          </w:p>
        </w:tc>
        <w:tc>
          <w:tcPr>
            <w:tcW w:w="2324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Entwicklung eines Hofstaates, des Standes der Priester und der Künstlerschaft um die politische Elite herum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Arbeitsteilung und berufliche Spezialisierung</w:t>
            </w:r>
          </w:p>
        </w:tc>
      </w:tr>
      <w:tr w:rsidR="00FA2A69" w:rsidRPr="003C1DC9" w:rsidTr="00E6172C">
        <w:trPr>
          <w:trHeight w:val="2154"/>
        </w:trPr>
        <w:tc>
          <w:tcPr>
            <w:tcW w:w="2098" w:type="dxa"/>
          </w:tcPr>
          <w:p w:rsidR="003C1DC9" w:rsidRDefault="003C1DC9" w:rsidP="003C1DC9">
            <w:r w:rsidRPr="003C1DC9">
              <w:t>Bis zum 18. Jh.</w:t>
            </w:r>
          </w:p>
          <w:p w:rsidR="00687592" w:rsidRPr="003C1DC9" w:rsidRDefault="00687592" w:rsidP="003C1DC9"/>
          <w:p w:rsidR="003C1DC9" w:rsidRPr="00A0144F" w:rsidRDefault="00687592" w:rsidP="00A0144F">
            <w:pPr>
              <w:pStyle w:val="ekvbild"/>
            </w:pPr>
            <w:r w:rsidRPr="00D109AF">
              <w:rPr>
                <w:lang w:eastAsia="de-DE"/>
              </w:rPr>
              <w:drawing>
                <wp:inline distT="0" distB="0" distL="0" distR="0" wp14:anchorId="3EBCEEF1" wp14:editId="71275E2D">
                  <wp:extent cx="1293083" cy="685110"/>
                  <wp:effectExtent l="0" t="0" r="254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83" cy="68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Berufsspezialisierung; Städte: Handwerks</w:t>
            </w:r>
            <w:r w:rsidRPr="00EE62F6">
              <w:rPr>
                <w:rStyle w:val="ekvlsung"/>
                <w:rFonts w:ascii="Cambria" w:hAnsi="Cambria" w:cs="Cambria"/>
                <w:sz w:val="20"/>
                <w:szCs w:val="20"/>
              </w:rPr>
              <w:t>­</w:t>
            </w:r>
            <w:r w:rsidRPr="00EE62F6">
              <w:rPr>
                <w:rStyle w:val="ekvlsung"/>
                <w:sz w:val="20"/>
                <w:szCs w:val="20"/>
              </w:rPr>
              <w:t>, Verwaltungs</w:t>
            </w:r>
            <w:r w:rsidRPr="00EE62F6">
              <w:rPr>
                <w:rStyle w:val="ekvlsung"/>
                <w:rFonts w:ascii="Cambria" w:hAnsi="Cambria" w:cs="Cambria"/>
                <w:sz w:val="20"/>
                <w:szCs w:val="20"/>
              </w:rPr>
              <w:t>­</w:t>
            </w:r>
            <w:r w:rsidRPr="00EE62F6">
              <w:rPr>
                <w:rStyle w:val="ekvlsung"/>
                <w:sz w:val="20"/>
                <w:szCs w:val="20"/>
              </w:rPr>
              <w:t xml:space="preserve"> und Handels</w:t>
            </w:r>
            <w:r w:rsidR="00B17EE3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berufe; Land: Ackerbauern und Viehzüchter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Wirtschaftliche Wechsel</w:t>
            </w:r>
            <w:r w:rsidR="00175F7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wirkung und Arbeitsteilung zwischen Stadt und Land</w:t>
            </w:r>
          </w:p>
        </w:tc>
        <w:tc>
          <w:tcPr>
            <w:tcW w:w="2154" w:type="dxa"/>
          </w:tcPr>
          <w:p w:rsidR="003C1DC9" w:rsidRPr="00EE62F6" w:rsidRDefault="00C3185B" w:rsidP="003C1DC9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Energieträger: Holz und Kohle</w:t>
            </w:r>
          </w:p>
        </w:tc>
        <w:tc>
          <w:tcPr>
            <w:tcW w:w="2324" w:type="dxa"/>
          </w:tcPr>
          <w:p w:rsidR="003C1DC9" w:rsidRPr="00EE62F6" w:rsidRDefault="00C3185B" w:rsidP="003C1DC9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Entstehung der Idee des Nationalstaates</w:t>
            </w:r>
          </w:p>
        </w:tc>
      </w:tr>
      <w:tr w:rsidR="00FA2A69" w:rsidRPr="003C1DC9" w:rsidTr="00E6172C">
        <w:trPr>
          <w:trHeight w:val="3628"/>
        </w:trPr>
        <w:tc>
          <w:tcPr>
            <w:tcW w:w="2098" w:type="dxa"/>
          </w:tcPr>
          <w:p w:rsidR="003C1DC9" w:rsidRDefault="003C1DC9" w:rsidP="003C1DC9">
            <w:r w:rsidRPr="003C1DC9">
              <w:t>Ab dem 18. Jh.</w:t>
            </w:r>
          </w:p>
          <w:p w:rsidR="0059307F" w:rsidRPr="003C1DC9" w:rsidRDefault="0059307F" w:rsidP="003C1DC9"/>
          <w:p w:rsidR="003C1DC9" w:rsidRDefault="0059307F" w:rsidP="0059307F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186BBED1" wp14:editId="78840FE5">
                  <wp:extent cx="1250315" cy="833669"/>
                  <wp:effectExtent l="0" t="0" r="698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83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07F" w:rsidRDefault="0059307F" w:rsidP="0059307F">
            <w:pPr>
              <w:pStyle w:val="ekvbild"/>
            </w:pPr>
          </w:p>
          <w:p w:rsidR="0059307F" w:rsidRPr="003C1DC9" w:rsidRDefault="0059307F" w:rsidP="0059307F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7D62B854" wp14:editId="4F465D2F">
                  <wp:extent cx="1108939" cy="7747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939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Englan</w:t>
            </w:r>
            <w:r w:rsidR="00CA2AF0">
              <w:rPr>
                <w:rStyle w:val="ekvlsung"/>
                <w:sz w:val="20"/>
                <w:szCs w:val="20"/>
              </w:rPr>
              <w:t>d: wichtige technische Erfindun</w:t>
            </w:r>
            <w:r w:rsidRPr="00EE62F6">
              <w:rPr>
                <w:rStyle w:val="ekvlsung"/>
                <w:sz w:val="20"/>
                <w:szCs w:val="20"/>
              </w:rPr>
              <w:t>gen; Beispiele: Dampfmaschine, Spinnmaschine, vollautoma</w:t>
            </w:r>
            <w:r w:rsidR="00FA2A69" w:rsidRPr="00EE62F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tisierter Webstuhl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Arbeitsmaschinen: Produktion von Gütern zu niedrigen Kosten, in bessere</w:t>
            </w:r>
            <w:r w:rsidR="00CA2AF0">
              <w:rPr>
                <w:rStyle w:val="ekvlsung"/>
                <w:sz w:val="20"/>
                <w:szCs w:val="20"/>
              </w:rPr>
              <w:t>r</w:t>
            </w:r>
            <w:r w:rsidRPr="00EE62F6">
              <w:rPr>
                <w:rStyle w:val="ekvlsung"/>
                <w:sz w:val="20"/>
                <w:szCs w:val="20"/>
              </w:rPr>
              <w:t xml:space="preserve"> Qualität und in größerer Stückzahl</w:t>
            </w:r>
          </w:p>
        </w:tc>
        <w:tc>
          <w:tcPr>
            <w:tcW w:w="2154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 xml:space="preserve">• Elektrizität: dosierter und punktgenauer Einsatz von Energie, z. B. </w:t>
            </w:r>
            <w:r w:rsidR="00AB49CA">
              <w:rPr>
                <w:rStyle w:val="ekvlsung"/>
                <w:sz w:val="20"/>
                <w:szCs w:val="20"/>
              </w:rPr>
              <w:br/>
            </w:r>
            <w:r w:rsidRPr="00EE62F6">
              <w:rPr>
                <w:rStyle w:val="ekvlsung"/>
                <w:sz w:val="20"/>
                <w:szCs w:val="20"/>
              </w:rPr>
              <w:t>für den Betrieb von Fließbändern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Herausbildung von mobilen Massen</w:t>
            </w:r>
            <w:r w:rsidR="00FA2A69" w:rsidRPr="00EE62F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gesellschafte</w:t>
            </w:r>
            <w:r w:rsidR="00851931">
              <w:rPr>
                <w:rStyle w:val="ekvlsung"/>
                <w:sz w:val="20"/>
                <w:szCs w:val="20"/>
              </w:rPr>
              <w:t>n, die auf den fossilen Energie</w:t>
            </w:r>
            <w:r w:rsidRPr="00EE62F6">
              <w:rPr>
                <w:rStyle w:val="ekvlsung"/>
                <w:sz w:val="20"/>
                <w:szCs w:val="20"/>
              </w:rPr>
              <w:t>trägern Öl und Gas basieren</w:t>
            </w:r>
          </w:p>
        </w:tc>
        <w:tc>
          <w:tcPr>
            <w:tcW w:w="2324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Aussterben tradi</w:t>
            </w:r>
            <w:r w:rsidR="009E043E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tioneller und Entstehen neuer Berufe</w:t>
            </w:r>
          </w:p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Übergang von der Handarbeit zur Maschinen- und Fließbandarbeit</w:t>
            </w:r>
          </w:p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Fließband: kosten-günstige Fertigung von Massengütern, z. B. von Autos.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Bedarf an Arbeits-kräften in den Städten; Urbanisierung</w:t>
            </w:r>
          </w:p>
        </w:tc>
      </w:tr>
      <w:tr w:rsidR="00FA2A69" w:rsidRPr="003C1DC9" w:rsidTr="00E6172C">
        <w:trPr>
          <w:trHeight w:val="3345"/>
        </w:trPr>
        <w:tc>
          <w:tcPr>
            <w:tcW w:w="2098" w:type="dxa"/>
          </w:tcPr>
          <w:p w:rsidR="003C1DC9" w:rsidRDefault="003C1DC9" w:rsidP="003C1DC9">
            <w:r w:rsidRPr="003C1DC9">
              <w:t>Bis heute</w:t>
            </w:r>
          </w:p>
          <w:p w:rsidR="007D09E7" w:rsidRPr="003C1DC9" w:rsidRDefault="007D09E7" w:rsidP="003C1DC9"/>
          <w:p w:rsidR="003C1DC9" w:rsidRPr="003C1DC9" w:rsidRDefault="007D09E7" w:rsidP="007D09E7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05404BF1" wp14:editId="0EAE14FA">
                  <wp:extent cx="1177290" cy="1177290"/>
                  <wp:effectExtent l="0" t="0" r="381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Globalisierung der Welt nach dem 2. Weltkrieg bis zur Jetztzeit</w:t>
            </w:r>
          </w:p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Entstehen des inter</w:t>
            </w:r>
            <w:r w:rsidR="00FA2A69" w:rsidRPr="00EE62F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nationalen Freihandels</w:t>
            </w:r>
            <w:r w:rsidR="00FA2A69" w:rsidRPr="00EE62F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systems: multinationale Großkonzerne, weltum</w:t>
            </w:r>
            <w:r w:rsidR="00FA2A69" w:rsidRPr="00EE62F6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spannendes internationales Finanzsystem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 xml:space="preserve">• </w:t>
            </w:r>
            <w:r w:rsidRPr="00EC365F">
              <w:rPr>
                <w:rStyle w:val="ekvlsung"/>
                <w:spacing w:val="-2"/>
                <w:sz w:val="20"/>
                <w:szCs w:val="20"/>
              </w:rPr>
              <w:t>digitale Revolution, Inter</w:t>
            </w:r>
            <w:r w:rsidR="00BF0101">
              <w:rPr>
                <w:rStyle w:val="ekvlsung"/>
                <w:spacing w:val="-2"/>
                <w:sz w:val="20"/>
                <w:szCs w:val="20"/>
              </w:rPr>
              <w:t>-</w:t>
            </w:r>
            <w:r w:rsidRPr="00EC365F">
              <w:rPr>
                <w:rStyle w:val="ekvlsung"/>
                <w:spacing w:val="-2"/>
                <w:sz w:val="20"/>
                <w:szCs w:val="20"/>
              </w:rPr>
              <w:t>net, globale Vernetzung der Kommunikations- und Wirtschaftsstrukturen</w:t>
            </w:r>
          </w:p>
        </w:tc>
        <w:tc>
          <w:tcPr>
            <w:tcW w:w="2154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Ablösung der fossilen Energie</w:t>
            </w:r>
            <w:r w:rsidR="00A22AAA">
              <w:rPr>
                <w:rStyle w:val="ekvlsung"/>
                <w:sz w:val="20"/>
                <w:szCs w:val="20"/>
              </w:rPr>
              <w:t>-</w:t>
            </w:r>
            <w:r w:rsidRPr="00EE62F6">
              <w:rPr>
                <w:rStyle w:val="ekvlsung"/>
                <w:sz w:val="20"/>
                <w:szCs w:val="20"/>
              </w:rPr>
              <w:t>träger durch erneuerbare Energien</w:t>
            </w:r>
          </w:p>
          <w:p w:rsidR="003C1DC9" w:rsidRPr="00EE62F6" w:rsidRDefault="00F7658D" w:rsidP="00C3185B">
            <w:pPr>
              <w:rPr>
                <w:rStyle w:val="ekvlsung"/>
                <w:sz w:val="20"/>
                <w:szCs w:val="20"/>
              </w:rPr>
            </w:pPr>
            <w:r>
              <w:rPr>
                <w:rStyle w:val="ekvlsung"/>
                <w:sz w:val="20"/>
                <w:szCs w:val="20"/>
              </w:rPr>
              <w:t>• g</w:t>
            </w:r>
            <w:bookmarkStart w:id="1" w:name="_GoBack"/>
            <w:bookmarkEnd w:id="1"/>
            <w:r w:rsidR="00C3185B" w:rsidRPr="00EE62F6">
              <w:rPr>
                <w:rStyle w:val="ekvlsung"/>
                <w:sz w:val="20"/>
                <w:szCs w:val="20"/>
              </w:rPr>
              <w:t>lobale soziale und wirtschaftliche Pro</w:t>
            </w:r>
            <w:r w:rsidR="009C5907">
              <w:rPr>
                <w:rStyle w:val="ekvlsung"/>
                <w:sz w:val="20"/>
                <w:szCs w:val="20"/>
              </w:rPr>
              <w:t>-</w:t>
            </w:r>
            <w:r w:rsidR="00C3185B" w:rsidRPr="00EE62F6">
              <w:rPr>
                <w:rStyle w:val="ekvlsung"/>
                <w:sz w:val="20"/>
                <w:szCs w:val="20"/>
              </w:rPr>
              <w:t>bleme wegen Klima</w:t>
            </w:r>
            <w:r w:rsidR="009C5907">
              <w:rPr>
                <w:rStyle w:val="ekvlsung"/>
                <w:sz w:val="20"/>
                <w:szCs w:val="20"/>
              </w:rPr>
              <w:t>-</w:t>
            </w:r>
            <w:r w:rsidR="00C3185B" w:rsidRPr="00EE62F6">
              <w:rPr>
                <w:rStyle w:val="ekvlsung"/>
                <w:sz w:val="20"/>
                <w:szCs w:val="20"/>
              </w:rPr>
              <w:t>wandels und Umwelt</w:t>
            </w:r>
            <w:r w:rsidR="009C5907">
              <w:rPr>
                <w:rStyle w:val="ekvlsung"/>
                <w:sz w:val="20"/>
                <w:szCs w:val="20"/>
              </w:rPr>
              <w:t>-</w:t>
            </w:r>
            <w:r w:rsidR="00C3185B" w:rsidRPr="00EE62F6">
              <w:rPr>
                <w:rStyle w:val="ekvlsung"/>
                <w:sz w:val="20"/>
                <w:szCs w:val="20"/>
              </w:rPr>
              <w:t>verschmutzung durch die industrielle Gesellschaft; Endlichkeit der Ressourcen</w:t>
            </w:r>
          </w:p>
        </w:tc>
        <w:tc>
          <w:tcPr>
            <w:tcW w:w="2324" w:type="dxa"/>
          </w:tcPr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 xml:space="preserve">Seit 1800: </w:t>
            </w:r>
          </w:p>
          <w:p w:rsidR="00C3185B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Wachstum der Weltbevölkerung um das 7-Fache</w:t>
            </w:r>
          </w:p>
          <w:p w:rsidR="003C1DC9" w:rsidRPr="00EE62F6" w:rsidRDefault="00C3185B" w:rsidP="00C3185B">
            <w:pPr>
              <w:rPr>
                <w:rStyle w:val="ekvlsung"/>
                <w:sz w:val="20"/>
                <w:szCs w:val="20"/>
              </w:rPr>
            </w:pPr>
            <w:r w:rsidRPr="00EE62F6">
              <w:rPr>
                <w:rStyle w:val="ekvlsung"/>
                <w:sz w:val="20"/>
                <w:szCs w:val="20"/>
              </w:rPr>
              <w:t>• Anstieg des Welthandels um das 500-Fache</w:t>
            </w:r>
          </w:p>
        </w:tc>
      </w:tr>
    </w:tbl>
    <w:p w:rsidR="003C1DC9" w:rsidRPr="003C1DC9" w:rsidRDefault="003C1DC9" w:rsidP="00D5369A">
      <w:pPr>
        <w:pStyle w:val="ekvgrundtexthalbe"/>
      </w:pPr>
    </w:p>
    <w:sectPr w:rsidR="003C1DC9" w:rsidRPr="003C1DC9" w:rsidSect="00EC1FF0">
      <w:footerReference w:type="default" r:id="rId13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FE" w:rsidRDefault="00CB0CFE" w:rsidP="003C599D">
      <w:pPr>
        <w:spacing w:line="240" w:lineRule="auto"/>
      </w:pPr>
      <w:r>
        <w:separator/>
      </w:r>
    </w:p>
  </w:endnote>
  <w:endnote w:type="continuationSeparator" w:id="0">
    <w:p w:rsidR="00CB0CFE" w:rsidRDefault="00CB0CF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12E6191" wp14:editId="0B61C8C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023D33">
          <w:pPr>
            <w:pStyle w:val="ekvpagina"/>
          </w:pPr>
          <w:r w:rsidRPr="00913892">
            <w:t>© Ernst Klett Verlag GmbH, Stuttgart 20</w:t>
          </w:r>
          <w:r w:rsidR="00023D33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E34D1D" w:rsidP="004136AD">
          <w:pPr>
            <w:pStyle w:val="ekvquelle"/>
          </w:pPr>
          <w:r w:rsidRPr="00E34D1D">
            <w:t xml:space="preserve">Bildquellen: 1 stock.adobe.com (Kitty), Dublin; 2 akg-images, Berlin; 3 ShutterStock.com RF (DutchScenery), New York, NY; </w:t>
          </w:r>
          <w:r>
            <w:br/>
          </w:r>
          <w:r w:rsidRPr="00E34D1D">
            <w:t>4 Ullstein Bild GmbH (ullstein Bild), Berlin; 5 Fotolia.com (TAlex), New York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FE" w:rsidRDefault="00CB0CFE" w:rsidP="003C599D">
      <w:pPr>
        <w:spacing w:line="240" w:lineRule="auto"/>
      </w:pPr>
      <w:r>
        <w:separator/>
      </w:r>
    </w:p>
  </w:footnote>
  <w:footnote w:type="continuationSeparator" w:id="0">
    <w:p w:rsidR="00CB0CFE" w:rsidRDefault="00CB0CFE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D"/>
    <w:rsid w:val="000026A0"/>
    <w:rsid w:val="000040E2"/>
    <w:rsid w:val="0001210D"/>
    <w:rsid w:val="00013BAA"/>
    <w:rsid w:val="00014D7E"/>
    <w:rsid w:val="0002009E"/>
    <w:rsid w:val="00020440"/>
    <w:rsid w:val="00023D33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4F5F"/>
    <w:rsid w:val="0006258C"/>
    <w:rsid w:val="00062D31"/>
    <w:rsid w:val="000637E9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5D4E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1FF1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D59"/>
    <w:rsid w:val="00165ECC"/>
    <w:rsid w:val="00166019"/>
    <w:rsid w:val="00175F76"/>
    <w:rsid w:val="00182050"/>
    <w:rsid w:val="00182B7D"/>
    <w:rsid w:val="001845AC"/>
    <w:rsid w:val="00186866"/>
    <w:rsid w:val="00190B65"/>
    <w:rsid w:val="00193A18"/>
    <w:rsid w:val="001A14CB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062"/>
    <w:rsid w:val="00205239"/>
    <w:rsid w:val="00214764"/>
    <w:rsid w:val="00216D91"/>
    <w:rsid w:val="00222E52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93905"/>
    <w:rsid w:val="002A25AE"/>
    <w:rsid w:val="002A3EC6"/>
    <w:rsid w:val="002B3DF1"/>
    <w:rsid w:val="002B64EA"/>
    <w:rsid w:val="002C5D15"/>
    <w:rsid w:val="002D41F4"/>
    <w:rsid w:val="002D7B0C"/>
    <w:rsid w:val="002D7B42"/>
    <w:rsid w:val="002E163A"/>
    <w:rsid w:val="002E21C3"/>
    <w:rsid w:val="002E2F5B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DC9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0637D"/>
    <w:rsid w:val="00411B18"/>
    <w:rsid w:val="00412BA6"/>
    <w:rsid w:val="004136AD"/>
    <w:rsid w:val="00415565"/>
    <w:rsid w:val="00415632"/>
    <w:rsid w:val="00415683"/>
    <w:rsid w:val="00415B5B"/>
    <w:rsid w:val="0042107E"/>
    <w:rsid w:val="004236D5"/>
    <w:rsid w:val="00424375"/>
    <w:rsid w:val="00431039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56A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1C6C"/>
    <w:rsid w:val="00503EE6"/>
    <w:rsid w:val="005069C1"/>
    <w:rsid w:val="00510F4C"/>
    <w:rsid w:val="0051309F"/>
    <w:rsid w:val="00514229"/>
    <w:rsid w:val="005156EC"/>
    <w:rsid w:val="005168A4"/>
    <w:rsid w:val="0052117E"/>
    <w:rsid w:val="00521B91"/>
    <w:rsid w:val="005252D2"/>
    <w:rsid w:val="00530C92"/>
    <w:rsid w:val="00535AD8"/>
    <w:rsid w:val="00536D6D"/>
    <w:rsid w:val="00547103"/>
    <w:rsid w:val="00554EDA"/>
    <w:rsid w:val="00560848"/>
    <w:rsid w:val="0057200E"/>
    <w:rsid w:val="00572A0F"/>
    <w:rsid w:val="00574FE0"/>
    <w:rsid w:val="00575595"/>
    <w:rsid w:val="00576D2D"/>
    <w:rsid w:val="00583FC8"/>
    <w:rsid w:val="00584F88"/>
    <w:rsid w:val="0058787B"/>
    <w:rsid w:val="00587DF4"/>
    <w:rsid w:val="0059307F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61C54"/>
    <w:rsid w:val="0066773A"/>
    <w:rsid w:val="006802C4"/>
    <w:rsid w:val="0068429A"/>
    <w:rsid w:val="00685FDD"/>
    <w:rsid w:val="00687592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3C9E"/>
    <w:rsid w:val="006D45BB"/>
    <w:rsid w:val="006D49F0"/>
    <w:rsid w:val="006D7F2E"/>
    <w:rsid w:val="006E057C"/>
    <w:rsid w:val="006E07F1"/>
    <w:rsid w:val="006E235E"/>
    <w:rsid w:val="006E6A74"/>
    <w:rsid w:val="006E6EB9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0BB5"/>
    <w:rsid w:val="00751B0E"/>
    <w:rsid w:val="00756014"/>
    <w:rsid w:val="00760C41"/>
    <w:rsid w:val="007619B6"/>
    <w:rsid w:val="007636A0"/>
    <w:rsid w:val="007638FC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09E7"/>
    <w:rsid w:val="007D186F"/>
    <w:rsid w:val="007E24A3"/>
    <w:rsid w:val="007E4DDC"/>
    <w:rsid w:val="007E5E71"/>
    <w:rsid w:val="007E67B3"/>
    <w:rsid w:val="007F754B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6197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1931"/>
    <w:rsid w:val="00854D77"/>
    <w:rsid w:val="00855240"/>
    <w:rsid w:val="008576F6"/>
    <w:rsid w:val="00857713"/>
    <w:rsid w:val="00862C21"/>
    <w:rsid w:val="0087227E"/>
    <w:rsid w:val="00874376"/>
    <w:rsid w:val="00882053"/>
    <w:rsid w:val="00891BBB"/>
    <w:rsid w:val="008942A2"/>
    <w:rsid w:val="0089534A"/>
    <w:rsid w:val="008A529C"/>
    <w:rsid w:val="008B446A"/>
    <w:rsid w:val="008B5E47"/>
    <w:rsid w:val="008C0880"/>
    <w:rsid w:val="008C27FD"/>
    <w:rsid w:val="008D3CE0"/>
    <w:rsid w:val="008D5A76"/>
    <w:rsid w:val="008D7FDC"/>
    <w:rsid w:val="008E2FCB"/>
    <w:rsid w:val="008E4B7A"/>
    <w:rsid w:val="008E6248"/>
    <w:rsid w:val="008F6EDE"/>
    <w:rsid w:val="008F7247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48CC"/>
    <w:rsid w:val="00956783"/>
    <w:rsid w:val="00957248"/>
    <w:rsid w:val="00957969"/>
    <w:rsid w:val="00962A4D"/>
    <w:rsid w:val="009634E9"/>
    <w:rsid w:val="00964A22"/>
    <w:rsid w:val="009656E9"/>
    <w:rsid w:val="00966EAE"/>
    <w:rsid w:val="00967C71"/>
    <w:rsid w:val="00967E19"/>
    <w:rsid w:val="00972F03"/>
    <w:rsid w:val="00976E17"/>
    <w:rsid w:val="00977556"/>
    <w:rsid w:val="009800AB"/>
    <w:rsid w:val="009811DE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C5907"/>
    <w:rsid w:val="009E043E"/>
    <w:rsid w:val="009E17E1"/>
    <w:rsid w:val="009E1BBE"/>
    <w:rsid w:val="009E45C5"/>
    <w:rsid w:val="009E47B1"/>
    <w:rsid w:val="009F003E"/>
    <w:rsid w:val="009F0109"/>
    <w:rsid w:val="009F01E9"/>
    <w:rsid w:val="009F1185"/>
    <w:rsid w:val="00A0144F"/>
    <w:rsid w:val="00A024FF"/>
    <w:rsid w:val="00A05E18"/>
    <w:rsid w:val="00A06EFE"/>
    <w:rsid w:val="00A13F07"/>
    <w:rsid w:val="00A170E5"/>
    <w:rsid w:val="00A2146F"/>
    <w:rsid w:val="00A22154"/>
    <w:rsid w:val="00A22AAA"/>
    <w:rsid w:val="00A238E9"/>
    <w:rsid w:val="00A23E76"/>
    <w:rsid w:val="00A26B32"/>
    <w:rsid w:val="00A27593"/>
    <w:rsid w:val="00A35787"/>
    <w:rsid w:val="00A3685C"/>
    <w:rsid w:val="00A43B4C"/>
    <w:rsid w:val="00A478DC"/>
    <w:rsid w:val="00A55E6C"/>
    <w:rsid w:val="00A66DF7"/>
    <w:rsid w:val="00A7006C"/>
    <w:rsid w:val="00A701AF"/>
    <w:rsid w:val="00A7137C"/>
    <w:rsid w:val="00A75504"/>
    <w:rsid w:val="00A83EBE"/>
    <w:rsid w:val="00A856D4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220C"/>
    <w:rsid w:val="00AB49CA"/>
    <w:rsid w:val="00AB5327"/>
    <w:rsid w:val="00AB6AE5"/>
    <w:rsid w:val="00AB7619"/>
    <w:rsid w:val="00AC01E7"/>
    <w:rsid w:val="00AC7B89"/>
    <w:rsid w:val="00AD4D22"/>
    <w:rsid w:val="00AD7F0F"/>
    <w:rsid w:val="00AE65F6"/>
    <w:rsid w:val="00AE6C53"/>
    <w:rsid w:val="00AF053E"/>
    <w:rsid w:val="00B00587"/>
    <w:rsid w:val="00B039E8"/>
    <w:rsid w:val="00B14B45"/>
    <w:rsid w:val="00B155E8"/>
    <w:rsid w:val="00B15F75"/>
    <w:rsid w:val="00B17EE3"/>
    <w:rsid w:val="00B2194E"/>
    <w:rsid w:val="00B31F29"/>
    <w:rsid w:val="00B32DAF"/>
    <w:rsid w:val="00B3499A"/>
    <w:rsid w:val="00B34B7A"/>
    <w:rsid w:val="00B34C0D"/>
    <w:rsid w:val="00B37E68"/>
    <w:rsid w:val="00B468CC"/>
    <w:rsid w:val="00B52FB3"/>
    <w:rsid w:val="00B54655"/>
    <w:rsid w:val="00B6045F"/>
    <w:rsid w:val="00B60BEA"/>
    <w:rsid w:val="00B7242A"/>
    <w:rsid w:val="00B8071F"/>
    <w:rsid w:val="00B8171D"/>
    <w:rsid w:val="00B82B4E"/>
    <w:rsid w:val="00B8420E"/>
    <w:rsid w:val="00B86D5C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0101"/>
    <w:rsid w:val="00BF17F2"/>
    <w:rsid w:val="00C00404"/>
    <w:rsid w:val="00C00540"/>
    <w:rsid w:val="00C172AE"/>
    <w:rsid w:val="00C17BE6"/>
    <w:rsid w:val="00C213F9"/>
    <w:rsid w:val="00C3185B"/>
    <w:rsid w:val="00C343F5"/>
    <w:rsid w:val="00C35D4D"/>
    <w:rsid w:val="00C40555"/>
    <w:rsid w:val="00C40D51"/>
    <w:rsid w:val="00C429A6"/>
    <w:rsid w:val="00C45D3B"/>
    <w:rsid w:val="00C45E0A"/>
    <w:rsid w:val="00C46BF4"/>
    <w:rsid w:val="00C504F8"/>
    <w:rsid w:val="00C52804"/>
    <w:rsid w:val="00C52A99"/>
    <w:rsid w:val="00C52AB7"/>
    <w:rsid w:val="00C55E85"/>
    <w:rsid w:val="00C61654"/>
    <w:rsid w:val="00C67987"/>
    <w:rsid w:val="00C70F84"/>
    <w:rsid w:val="00C727B3"/>
    <w:rsid w:val="00C72BA2"/>
    <w:rsid w:val="00C84E20"/>
    <w:rsid w:val="00C84E4C"/>
    <w:rsid w:val="00C87044"/>
    <w:rsid w:val="00C94D17"/>
    <w:rsid w:val="00CA2AF0"/>
    <w:rsid w:val="00CB0CFE"/>
    <w:rsid w:val="00CB17F5"/>
    <w:rsid w:val="00CB27C6"/>
    <w:rsid w:val="00CB463B"/>
    <w:rsid w:val="00CB5B82"/>
    <w:rsid w:val="00CB782D"/>
    <w:rsid w:val="00CC54E0"/>
    <w:rsid w:val="00CC5E8B"/>
    <w:rsid w:val="00CC65A8"/>
    <w:rsid w:val="00CC7DBB"/>
    <w:rsid w:val="00CD4219"/>
    <w:rsid w:val="00CD5490"/>
    <w:rsid w:val="00CD6369"/>
    <w:rsid w:val="00CE2A37"/>
    <w:rsid w:val="00CE3E54"/>
    <w:rsid w:val="00CE566D"/>
    <w:rsid w:val="00CF2E1A"/>
    <w:rsid w:val="00CF6EC0"/>
    <w:rsid w:val="00CF715C"/>
    <w:rsid w:val="00D022EC"/>
    <w:rsid w:val="00D05217"/>
    <w:rsid w:val="00D06182"/>
    <w:rsid w:val="00D109AF"/>
    <w:rsid w:val="00D125BD"/>
    <w:rsid w:val="00D12661"/>
    <w:rsid w:val="00D14F61"/>
    <w:rsid w:val="00D1582D"/>
    <w:rsid w:val="00D165EA"/>
    <w:rsid w:val="00D2569D"/>
    <w:rsid w:val="00D27A1B"/>
    <w:rsid w:val="00D34DC1"/>
    <w:rsid w:val="00D36CF6"/>
    <w:rsid w:val="00D403F7"/>
    <w:rsid w:val="00D5369A"/>
    <w:rsid w:val="00D5496A"/>
    <w:rsid w:val="00D559DE"/>
    <w:rsid w:val="00D56FEB"/>
    <w:rsid w:val="00D6099F"/>
    <w:rsid w:val="00D61DD0"/>
    <w:rsid w:val="00D62096"/>
    <w:rsid w:val="00D627E5"/>
    <w:rsid w:val="00D649B5"/>
    <w:rsid w:val="00D66390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5766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D1D"/>
    <w:rsid w:val="00E34F46"/>
    <w:rsid w:val="00E375D2"/>
    <w:rsid w:val="00E43A79"/>
    <w:rsid w:val="00E43E04"/>
    <w:rsid w:val="00E44E20"/>
    <w:rsid w:val="00E463F1"/>
    <w:rsid w:val="00E47A67"/>
    <w:rsid w:val="00E50679"/>
    <w:rsid w:val="00E50799"/>
    <w:rsid w:val="00E552A4"/>
    <w:rsid w:val="00E604BE"/>
    <w:rsid w:val="00E6120D"/>
    <w:rsid w:val="00E6172C"/>
    <w:rsid w:val="00E6190A"/>
    <w:rsid w:val="00E63251"/>
    <w:rsid w:val="00E70C40"/>
    <w:rsid w:val="00E710C7"/>
    <w:rsid w:val="00E724C9"/>
    <w:rsid w:val="00E80DED"/>
    <w:rsid w:val="00E922F7"/>
    <w:rsid w:val="00E95ED3"/>
    <w:rsid w:val="00EA7542"/>
    <w:rsid w:val="00EA761D"/>
    <w:rsid w:val="00EB0F44"/>
    <w:rsid w:val="00EB2280"/>
    <w:rsid w:val="00EC1621"/>
    <w:rsid w:val="00EC1FF0"/>
    <w:rsid w:val="00EC365F"/>
    <w:rsid w:val="00EC662E"/>
    <w:rsid w:val="00ED07FE"/>
    <w:rsid w:val="00EE049D"/>
    <w:rsid w:val="00EE2721"/>
    <w:rsid w:val="00EE2A0B"/>
    <w:rsid w:val="00EE62F6"/>
    <w:rsid w:val="00EF6029"/>
    <w:rsid w:val="00F11485"/>
    <w:rsid w:val="00F16DA0"/>
    <w:rsid w:val="00F23554"/>
    <w:rsid w:val="00F241DA"/>
    <w:rsid w:val="00F24740"/>
    <w:rsid w:val="00F30571"/>
    <w:rsid w:val="00F315E7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1B18"/>
    <w:rsid w:val="00F72065"/>
    <w:rsid w:val="00F7658D"/>
    <w:rsid w:val="00F778DC"/>
    <w:rsid w:val="00F849BE"/>
    <w:rsid w:val="00F94A4B"/>
    <w:rsid w:val="00F97AD4"/>
    <w:rsid w:val="00FA2A69"/>
    <w:rsid w:val="00FA7CDA"/>
    <w:rsid w:val="00FB0917"/>
    <w:rsid w:val="00FB0F16"/>
    <w:rsid w:val="00FB1D7F"/>
    <w:rsid w:val="00FB2C21"/>
    <w:rsid w:val="00FB59FB"/>
    <w:rsid w:val="00FB72A0"/>
    <w:rsid w:val="00FC35C5"/>
    <w:rsid w:val="00FC7DBF"/>
    <w:rsid w:val="00FE4FE6"/>
    <w:rsid w:val="00FF1E9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03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0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03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DF4-5A33-4EA7-918A-AD1B5D8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83</cp:revision>
  <cp:lastPrinted>2016-12-23T16:36:00Z</cp:lastPrinted>
  <dcterms:created xsi:type="dcterms:W3CDTF">2020-01-07T07:32:00Z</dcterms:created>
  <dcterms:modified xsi:type="dcterms:W3CDTF">2020-01-31T07:08:00Z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