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A437BE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37BE" w:rsidRPr="00AE65F6" w:rsidRDefault="00A437BE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FE23B5" w:rsidRDefault="00A437BE" w:rsidP="00206183">
            <w:pPr>
              <w:pStyle w:val="ekvkolumnentitel"/>
            </w:pPr>
            <w:r>
              <w:t xml:space="preserve">I Zahlen und Größen, </w:t>
            </w:r>
            <w:r w:rsidRPr="00715515">
              <w:t xml:space="preserve">2 Zahlen ordnen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437BE" w:rsidRPr="007636A0" w:rsidRDefault="00A437BE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A437BE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37BE" w:rsidRDefault="00A437BE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42A59324" wp14:editId="650AB62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37BE" w:rsidRDefault="00A437BE" w:rsidP="00206183">
            <w:pPr>
              <w:rPr>
                <w:color w:val="FFFFFF" w:themeColor="background1"/>
              </w:rPr>
            </w:pPr>
          </w:p>
          <w:p w:rsidR="00A437BE" w:rsidRPr="00BF17F2" w:rsidRDefault="00A437BE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A437BE" w:rsidRPr="00BF17F2" w:rsidRDefault="00A437BE" w:rsidP="00206183">
            <w:pPr>
              <w:rPr>
                <w:color w:val="FFFFFF" w:themeColor="background1"/>
              </w:rPr>
            </w:pPr>
          </w:p>
        </w:tc>
      </w:tr>
    </w:tbl>
    <w:p w:rsidR="00727DFB" w:rsidRDefault="00542A17" w:rsidP="00727DFB">
      <w:pPr>
        <w:pStyle w:val="ekvue2arial"/>
      </w:pPr>
      <w:r w:rsidRPr="00500C6C">
        <w:t>Einstieg: Lineale und Zahlenstrahlen</w:t>
      </w:r>
    </w:p>
    <w:p w:rsidR="00542A17" w:rsidRPr="002E1983" w:rsidRDefault="00542A17" w:rsidP="00727DFB">
      <w:pPr>
        <w:pStyle w:val="ekvaufgabe2-4sp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4"/>
        <w:gridCol w:w="284"/>
        <w:gridCol w:w="3022"/>
      </w:tblGrid>
      <w:tr w:rsidR="00542A17" w:rsidTr="006513D2">
        <w:trPr>
          <w:trHeight w:val="284"/>
        </w:trPr>
        <w:tc>
          <w:tcPr>
            <w:tcW w:w="6044" w:type="dxa"/>
            <w:shd w:val="clear" w:color="auto" w:fill="auto"/>
          </w:tcPr>
          <w:p w:rsidR="00542A17" w:rsidRPr="00236C59" w:rsidRDefault="00542A17" w:rsidP="006513D2">
            <w:pPr>
              <w:pStyle w:val="ekvbild"/>
            </w:pPr>
            <w:r w:rsidRPr="00236C59">
              <w:t>Lineale, Maßbänder und Zollstöcke sind meistens mit natürlichen Zahlen beschriftet: 0, 1, 2, 3 usw. Diese sind der Größe nach geordnet.</w:t>
            </w:r>
            <w:r w:rsidRPr="000C2D24">
              <w:t xml:space="preserve"> </w:t>
            </w:r>
          </w:p>
          <w:p w:rsidR="00542A17" w:rsidRDefault="00542A17" w:rsidP="00731919">
            <w:pPr>
              <w:pStyle w:val="ekvgrundtexthalbe"/>
            </w:pPr>
          </w:p>
          <w:tbl>
            <w:tblPr>
              <w:tblW w:w="6044" w:type="dxa"/>
              <w:shd w:val="pct15" w:color="auto" w:fill="auto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6044"/>
            </w:tblGrid>
            <w:tr w:rsidR="00542A17" w:rsidTr="006513D2">
              <w:trPr>
                <w:trHeight w:val="284"/>
              </w:trPr>
              <w:tc>
                <w:tcPr>
                  <w:tcW w:w="6044" w:type="dxa"/>
                  <w:shd w:val="pct15" w:color="auto" w:fill="auto"/>
                </w:tcPr>
                <w:p w:rsidR="00542A17" w:rsidRDefault="00542A17" w:rsidP="00727DFB">
                  <w:pPr>
                    <w:pStyle w:val="ekvaufgabe2-4sp"/>
                  </w:pPr>
                  <w:r w:rsidRPr="00236C59">
                    <w:t xml:space="preserve">Jede natürliche Zahl hat einen Nachfolger: Die um 1 größere Zahl. </w:t>
                  </w:r>
                </w:p>
                <w:p w:rsidR="00542A17" w:rsidRDefault="00542A17" w:rsidP="00727DFB">
                  <w:pPr>
                    <w:pStyle w:val="ekvaufgabe2-4sp"/>
                  </w:pPr>
                  <w:r w:rsidRPr="00236C59">
                    <w:t>Jede natürliche Zahl außer der 0 hat einen Vorgänger: Die um 1 kleinere Zahl.</w:t>
                  </w:r>
                </w:p>
              </w:tc>
            </w:tr>
          </w:tbl>
          <w:p w:rsidR="00542A17" w:rsidRDefault="00542A17" w:rsidP="00731919">
            <w:pPr>
              <w:pStyle w:val="ekvgrundtexthalbe"/>
            </w:pPr>
          </w:p>
          <w:p w:rsidR="00542A17" w:rsidRDefault="00542A17" w:rsidP="00727DFB">
            <w:pPr>
              <w:pStyle w:val="ekvaufgabe2-4sp"/>
            </w:pPr>
            <w:r w:rsidRPr="00236C59">
              <w:t>In der Mathematik benutzt man etwas, das einem Lineal sehr ähnlich ist: Den Zahlenstrahl</w:t>
            </w:r>
            <w:r>
              <w:t>.</w:t>
            </w:r>
          </w:p>
        </w:tc>
        <w:tc>
          <w:tcPr>
            <w:tcW w:w="284" w:type="dxa"/>
            <w:shd w:val="clear" w:color="auto" w:fill="auto"/>
          </w:tcPr>
          <w:p w:rsidR="00542A17" w:rsidRDefault="00542A17" w:rsidP="006513D2"/>
        </w:tc>
        <w:tc>
          <w:tcPr>
            <w:tcW w:w="3022" w:type="dxa"/>
            <w:shd w:val="clear" w:color="auto" w:fill="auto"/>
          </w:tcPr>
          <w:p w:rsidR="00542A17" w:rsidRDefault="00731919" w:rsidP="006513D2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1778400" cy="1022400"/>
                  <wp:effectExtent l="0" t="0" r="0" b="6350"/>
                  <wp:docPr id="16" name="Grafik 16" descr="I:\Klett_WORD\733954_LS7_NW_DUA_KONVERTIERT\Graifiken\Kapitel_01\S017733452_G_K01_008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400" cy="10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A17" w:rsidRDefault="00542A17" w:rsidP="00542A17">
      <w:pPr>
        <w:pStyle w:val="ekvbild"/>
      </w:pPr>
      <w:r w:rsidRPr="00236C59">
        <w:t xml:space="preserve">Wie bei einem Lineal sind die Zahlen der Größe nach geordnet. </w:t>
      </w:r>
    </w:p>
    <w:p w:rsidR="00542A17" w:rsidRDefault="00542A17" w:rsidP="00542A17">
      <w:pPr>
        <w:pStyle w:val="ekvgrundtexthalbe"/>
      </w:pPr>
    </w:p>
    <w:p w:rsidR="00542A17" w:rsidRDefault="00731919" w:rsidP="00731919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68800" cy="331200"/>
            <wp:effectExtent l="0" t="0" r="0" b="0"/>
            <wp:docPr id="13" name="Grafik 13" descr="I:\Klett_WORD\733954_LS7_NW_DUA_KONVERTIERT\Graifiken\Kapitel_01\SE96733452_G_K01_008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17" w:rsidRPr="00500C6C" w:rsidRDefault="00542A17" w:rsidP="00727DFB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542A17" w:rsidRPr="009138B0" w:rsidTr="006513D2">
        <w:trPr>
          <w:trHeight w:val="284"/>
        </w:trPr>
        <w:tc>
          <w:tcPr>
            <w:tcW w:w="4536" w:type="dxa"/>
            <w:shd w:val="clear" w:color="auto" w:fill="auto"/>
          </w:tcPr>
          <w:p w:rsidR="00542A17" w:rsidRPr="00500C6C" w:rsidRDefault="00542A17" w:rsidP="00727DFB">
            <w:pPr>
              <w:pStyle w:val="ekvaufgabe2-4sp"/>
            </w:pPr>
            <w:r w:rsidRPr="00236C59">
              <w:rPr>
                <w:rStyle w:val="ekvnummerierung"/>
              </w:rPr>
              <w:t>1</w:t>
            </w:r>
            <w:r>
              <w:tab/>
            </w:r>
            <w:r w:rsidRPr="00500C6C">
              <w:t>Vervollständige die folgenden Sätze:</w:t>
            </w:r>
          </w:p>
          <w:p w:rsidR="00542A17" w:rsidRPr="00500C6C" w:rsidRDefault="00542A17" w:rsidP="00731919">
            <w:pPr>
              <w:pStyle w:val="ekvaufgabelckentext2-4sp"/>
            </w:pPr>
            <w:r>
              <w:t>a)</w:t>
            </w:r>
            <w:r>
              <w:tab/>
            </w:r>
            <w:r w:rsidRPr="00500C6C">
              <w:t xml:space="preserve">Der Vorgänger der Zahl 10 ist die Zahl </w:t>
            </w:r>
            <w:r w:rsidRPr="00731919">
              <w:rPr>
                <w:rStyle w:val="ekvlckentextunterstrichen"/>
              </w:rPr>
              <w:t>         </w:t>
            </w:r>
            <w:r w:rsidR="00731919" w:rsidRPr="00731919">
              <w:rPr>
                <w:rStyle w:val="ekvabstand50prozent"/>
              </w:rPr>
              <w:t xml:space="preserve"> </w:t>
            </w:r>
            <w:r w:rsidRPr="00500C6C">
              <w:t xml:space="preserve">. </w:t>
            </w:r>
            <w:r>
              <w:br/>
              <w:t>b)</w:t>
            </w:r>
            <w:r>
              <w:tab/>
            </w:r>
            <w:r w:rsidRPr="00500C6C">
              <w:t xml:space="preserve">Der Nachfolger der Zahl 2 ist die Zahl </w:t>
            </w:r>
            <w:r w:rsidRPr="00731919">
              <w:rPr>
                <w:rStyle w:val="ekvlckentextunterstrichen"/>
              </w:rPr>
              <w:t>         </w:t>
            </w:r>
            <w:r w:rsidR="00731919" w:rsidRPr="00731919">
              <w:rPr>
                <w:rStyle w:val="ekvabstand50prozent"/>
              </w:rPr>
              <w:t xml:space="preserve"> </w:t>
            </w:r>
            <w:r w:rsidRPr="00500C6C">
              <w:t>.</w:t>
            </w:r>
            <w:r>
              <w:br/>
              <w:t>c)</w:t>
            </w:r>
            <w:r>
              <w:tab/>
            </w:r>
            <w:r w:rsidRPr="00500C6C">
              <w:t xml:space="preserve">Die Zahl 7 ist der </w:t>
            </w:r>
            <w:r w:rsidRPr="00731919">
              <w:rPr>
                <w:rStyle w:val="ekvlckentextunterstrichen"/>
              </w:rPr>
              <w:tab/>
            </w:r>
            <w:r w:rsidRPr="00731919">
              <w:rPr>
                <w:rStyle w:val="ekvlckentextunterstrichen"/>
              </w:rPr>
              <w:tab/>
            </w:r>
            <w:r w:rsidRPr="00731919">
              <w:rPr>
                <w:rStyle w:val="ekvlckentextunterstrichen"/>
              </w:rPr>
              <w:tab/>
            </w:r>
            <w:r w:rsidRPr="00731919">
              <w:rPr>
                <w:rStyle w:val="ekvlckentextunterstrichen"/>
              </w:rPr>
              <w:tab/>
            </w:r>
            <w:r w:rsidRPr="00731919">
              <w:rPr>
                <w:rStyle w:val="ekvlckentextunterstrichen"/>
              </w:rPr>
              <w:tab/>
            </w:r>
            <w:r>
              <w:t xml:space="preserve"> der Zahl 8.</w:t>
            </w:r>
          </w:p>
          <w:p w:rsidR="00542A17" w:rsidRDefault="00542A17" w:rsidP="00731919">
            <w:pPr>
              <w:pStyle w:val="ekvgrundtexthalbe"/>
            </w:pPr>
          </w:p>
          <w:p w:rsidR="00731919" w:rsidRDefault="00731919" w:rsidP="00727DFB">
            <w:pPr>
              <w:pStyle w:val="ekvaufgabe2-4sp"/>
            </w:pPr>
          </w:p>
          <w:p w:rsidR="00542A17" w:rsidRPr="00BB2886" w:rsidRDefault="00542A17" w:rsidP="00727DFB">
            <w:pPr>
              <w:pStyle w:val="ekvaufgabe2-4sp"/>
            </w:pPr>
            <w:r w:rsidRPr="00236C59">
              <w:rPr>
                <w:rStyle w:val="ekvnummerierung"/>
              </w:rPr>
              <w:t>2</w:t>
            </w:r>
            <w:r>
              <w:rPr>
                <w:rStyle w:val="ekvnummerierung"/>
              </w:rPr>
              <w:tab/>
            </w:r>
            <w:r w:rsidRPr="00236C59">
              <w:t xml:space="preserve">Schau </w:t>
            </w:r>
            <w:r>
              <w:t>d</w:t>
            </w:r>
            <w:r w:rsidRPr="00236C59">
              <w:t xml:space="preserve">ir ein Geodreieck einmal genauer an: </w:t>
            </w:r>
            <w:r>
              <w:br/>
            </w:r>
            <w:r w:rsidRPr="00236C59">
              <w:t xml:space="preserve">In einem Halbkreis um den Nullpunkt findest </w:t>
            </w:r>
            <w:r>
              <w:t>d</w:t>
            </w:r>
            <w:r w:rsidRPr="00236C59">
              <w:t>u die Gradskala. Diese ist in Zehnerschritten beschriftet. Auf einem Zahlenstrahl sieht der Anfang der Gradskala so aus:</w:t>
            </w:r>
            <w: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542A17" w:rsidRPr="009138B0" w:rsidRDefault="00542A17" w:rsidP="006513D2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31919" w:rsidRPr="009138B0" w:rsidRDefault="00731919" w:rsidP="00731919">
            <w:pPr>
              <w:pStyle w:val="ekvbild"/>
              <w:jc w:val="right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 wp14:anchorId="1F81F928" wp14:editId="584029A1">
                  <wp:extent cx="2876400" cy="2876400"/>
                  <wp:effectExtent l="0" t="0" r="635" b="635"/>
                  <wp:docPr id="8" name="Grafik 8" descr="I:\Klett_WORD\733954_LS7_NW_DUA_KONVERTIERT\Graifiken\Kapitel_01\SE96733452_G_K01_008_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400" cy="28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A17" w:rsidRDefault="00542A17" w:rsidP="00542A17">
      <w:pPr>
        <w:pStyle w:val="ekvgrundtexthalbe"/>
      </w:pPr>
    </w:p>
    <w:p w:rsidR="00542A17" w:rsidRDefault="00731919" w:rsidP="00731919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68800" cy="331200"/>
            <wp:effectExtent l="0" t="0" r="0" b="0"/>
            <wp:docPr id="14" name="Grafik 14" descr="I:\Klett_WORD\733954_LS7_NW_DUA_KONVERTIERT\Graifiken\Kapitel_01\SE96733452_G_K01_008_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17" w:rsidRDefault="00542A17" w:rsidP="00731919">
      <w:pPr>
        <w:pStyle w:val="ekvgrundtexthalbe"/>
      </w:pPr>
    </w:p>
    <w:p w:rsidR="00542A17" w:rsidRDefault="00542A17" w:rsidP="00727DFB">
      <w:pPr>
        <w:pStyle w:val="ekvaufgabe2-4sp"/>
      </w:pPr>
      <w:r>
        <w:t>a)</w:t>
      </w:r>
      <w:r>
        <w:tab/>
      </w:r>
      <w:r w:rsidRPr="00500C6C">
        <w:t>Vervollständige die Beschriftung dieses Zahlenstrahls.</w:t>
      </w:r>
      <w:r>
        <w:br/>
        <w:t>b)</w:t>
      </w:r>
      <w:r>
        <w:tab/>
      </w:r>
      <w:r w:rsidRPr="00500C6C">
        <w:t>Vervollständige d</w:t>
      </w:r>
      <w:r>
        <w:t>en</w:t>
      </w:r>
      <w:r w:rsidRPr="00500C6C">
        <w:t xml:space="preserve"> folgenden S</w:t>
      </w:r>
      <w:r>
        <w:t>atz</w:t>
      </w:r>
      <w:r w:rsidRPr="00500C6C">
        <w:t>:</w:t>
      </w:r>
    </w:p>
    <w:p w:rsidR="00542A17" w:rsidRPr="00500C6C" w:rsidRDefault="00542A17" w:rsidP="00727DFB">
      <w:pPr>
        <w:pStyle w:val="ekvaufgabe2-4sp"/>
      </w:pPr>
      <w:r w:rsidRPr="00500C6C">
        <w:t xml:space="preserve">Der Vorgänger der Zahl 70 ist die Zahl 69. Der Nachfolger der Zahl 30 ist die Zahl </w:t>
      </w:r>
      <w:r w:rsidRPr="00731919">
        <w:rPr>
          <w:rStyle w:val="ekvlckentextunterstrichen"/>
        </w:rPr>
        <w:t>         </w:t>
      </w:r>
      <w:r w:rsidR="00731919" w:rsidRPr="00731919">
        <w:rPr>
          <w:rStyle w:val="ekvabstand50prozent"/>
        </w:rPr>
        <w:t xml:space="preserve"> </w:t>
      </w:r>
      <w:r w:rsidRPr="00500C6C">
        <w:t>.</w:t>
      </w:r>
    </w:p>
    <w:p w:rsidR="00542A17" w:rsidRDefault="00542A17" w:rsidP="00731919">
      <w:pPr>
        <w:pStyle w:val="ekvgrundtexthalbe"/>
      </w:pPr>
    </w:p>
    <w:p w:rsidR="00731919" w:rsidRPr="00500C6C" w:rsidRDefault="00731919" w:rsidP="00727DFB">
      <w:pPr>
        <w:pStyle w:val="ekvaufgabe2-4sp"/>
      </w:pPr>
    </w:p>
    <w:p w:rsidR="00542A17" w:rsidRPr="00500C6C" w:rsidRDefault="00542A17" w:rsidP="00727DFB">
      <w:pPr>
        <w:pStyle w:val="ekvaufgabe2-4sp"/>
      </w:pPr>
      <w:r w:rsidRPr="00236C59">
        <w:rPr>
          <w:rStyle w:val="ekvnummerierung"/>
        </w:rPr>
        <w:t>3</w:t>
      </w:r>
      <w:r>
        <w:rPr>
          <w:rStyle w:val="ekvnummerierung"/>
        </w:rPr>
        <w:tab/>
      </w:r>
      <w:r w:rsidRPr="00500C6C">
        <w:t>Man kann Ausschnitte eines Zahlenstrahls vergrößern, z.</w:t>
      </w:r>
      <w:r w:rsidRPr="008B2E3A">
        <w:t> </w:t>
      </w:r>
      <w:r w:rsidRPr="00500C6C">
        <w:t xml:space="preserve">B. den Bereich von 10 bis 40. </w:t>
      </w:r>
    </w:p>
    <w:p w:rsidR="00542A17" w:rsidRDefault="00542A17" w:rsidP="00542A17">
      <w:pPr>
        <w:pStyle w:val="ekvgrundtexthalbe"/>
      </w:pPr>
    </w:p>
    <w:p w:rsidR="00542A17" w:rsidRDefault="00731919" w:rsidP="00731919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40000" cy="540000"/>
            <wp:effectExtent l="0" t="0" r="3810" b="0"/>
            <wp:docPr id="15" name="Grafik 15" descr="I:\Klett_WORD\733954_LS7_NW_DUA_KONVERTIERT\Graifiken\Kapitel_01\SE96733452_G_K01_008_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17" w:rsidRPr="00500C6C" w:rsidRDefault="00542A17" w:rsidP="00542A17">
      <w:pPr>
        <w:pStyle w:val="ekvgrundtexthalbe"/>
      </w:pPr>
    </w:p>
    <w:p w:rsidR="00542A17" w:rsidRPr="00500C6C" w:rsidRDefault="00542A17" w:rsidP="00727DFB">
      <w:pPr>
        <w:pStyle w:val="ekvaufgabe2-4sp"/>
      </w:pPr>
      <w:r w:rsidRPr="00500C6C">
        <w:t>Markiere auf dem Zahlenstrahl die folgenden Zahlen: 15, 35, 39, 9, 27</w:t>
      </w:r>
      <w:r>
        <w:t>.</w:t>
      </w:r>
    </w:p>
    <w:p w:rsidR="00542A17" w:rsidRPr="00500C6C" w:rsidRDefault="00542A17" w:rsidP="00727DFB">
      <w:pPr>
        <w:pStyle w:val="ekvaufgabe2-4sp"/>
      </w:pPr>
    </w:p>
    <w:p w:rsidR="00542A17" w:rsidRPr="00500C6C" w:rsidRDefault="00542A17" w:rsidP="00727DFB">
      <w:pPr>
        <w:pStyle w:val="ekvaufgabe2-4sp"/>
      </w:pPr>
      <w:r w:rsidRPr="00236C59">
        <w:rPr>
          <w:rStyle w:val="ekvnummerierung"/>
        </w:rPr>
        <w:t>4</w:t>
      </w:r>
      <w:r>
        <w:tab/>
      </w:r>
      <w:r w:rsidRPr="00500C6C">
        <w:t xml:space="preserve">Vergleiche die drei Zahlenstrahlen auf dieser Seite miteinander. Was haben </w:t>
      </w:r>
      <w:r>
        <w:t>s</w:t>
      </w:r>
      <w:r w:rsidRPr="00500C6C">
        <w:t>ie gemeinsam, was ist unterschiedlich?</w:t>
      </w:r>
    </w:p>
    <w:p w:rsidR="00761737" w:rsidRDefault="00761737" w:rsidP="00727DFB">
      <w:pPr>
        <w:pStyle w:val="ekvaufgabe2-4sp"/>
        <w:sectPr w:rsidR="00761737" w:rsidSect="00EC1FF0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A437BE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37BE" w:rsidRPr="00AE65F6" w:rsidRDefault="00A437BE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FE23B5" w:rsidRDefault="00A437BE" w:rsidP="00206183">
            <w:pPr>
              <w:pStyle w:val="ekvkolumnentitel"/>
            </w:pPr>
            <w:r>
              <w:t xml:space="preserve">I Zahlen und Größen, </w:t>
            </w:r>
            <w:r w:rsidRPr="00715515">
              <w:t xml:space="preserve">2 Zahlen ordnen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37BE" w:rsidRPr="007C1230" w:rsidRDefault="00A437BE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437BE" w:rsidRPr="007636A0" w:rsidRDefault="00A437BE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A437BE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437BE" w:rsidRDefault="00A437BE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7A47DB12" wp14:editId="31AC32C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37BE" w:rsidRDefault="00A437BE" w:rsidP="00206183">
            <w:pPr>
              <w:rPr>
                <w:color w:val="FFFFFF" w:themeColor="background1"/>
              </w:rPr>
            </w:pPr>
          </w:p>
          <w:p w:rsidR="00A437BE" w:rsidRPr="00BF17F2" w:rsidRDefault="00A437BE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A437BE" w:rsidRPr="00BF17F2" w:rsidRDefault="00A437BE" w:rsidP="00206183">
            <w:pPr>
              <w:rPr>
                <w:color w:val="FFFFFF" w:themeColor="background1"/>
              </w:rPr>
            </w:pPr>
          </w:p>
        </w:tc>
      </w:tr>
    </w:tbl>
    <w:p w:rsidR="00542A17" w:rsidRDefault="00542A17" w:rsidP="007D2A59">
      <w:pPr>
        <w:pStyle w:val="ekvlsungberschrift"/>
      </w:pPr>
      <w:r w:rsidRPr="00500C6C">
        <w:t>Einstieg: Lineale und Zahlenstrahlen</w:t>
      </w:r>
      <w:r w:rsidR="007D2A59">
        <w:t>, S</w:t>
      </w:r>
      <w:r w:rsidR="007D2A59" w:rsidRPr="00057AED">
        <w:rPr>
          <w:rStyle w:val="ekvabstand50prozent"/>
        </w:rPr>
        <w:t> </w:t>
      </w:r>
      <w:r w:rsidR="007D2A59">
        <w:t>8</w:t>
      </w:r>
    </w:p>
    <w:p w:rsidR="00542A17" w:rsidRPr="006C4222" w:rsidRDefault="00542A17" w:rsidP="005559FB">
      <w:pPr>
        <w:pStyle w:val="ekvaufgabe2-4sp"/>
      </w:pPr>
    </w:p>
    <w:p w:rsidR="003A306F" w:rsidRDefault="00542A17" w:rsidP="00727DFB">
      <w:pPr>
        <w:pStyle w:val="ekvaufgabe2-4sp"/>
      </w:pPr>
      <w:r w:rsidRPr="008E1AC7">
        <w:rPr>
          <w:rStyle w:val="ekvnummerierung"/>
        </w:rPr>
        <w:t>1</w:t>
      </w:r>
      <w:r>
        <w:rPr>
          <w:rStyle w:val="ekvnummerierung"/>
        </w:rPr>
        <w:tab/>
      </w:r>
      <w:r w:rsidRPr="00911773">
        <w:t>a)</w:t>
      </w:r>
      <w:r>
        <w:tab/>
      </w:r>
      <w:r w:rsidRPr="00911773">
        <w:t xml:space="preserve">Der Vorgänger der Zahl 9 ist die Zahl </w:t>
      </w:r>
      <w:r>
        <w:rPr>
          <w:rStyle w:val="ekvfett"/>
        </w:rPr>
        <w:t>8</w:t>
      </w:r>
      <w:r w:rsidRPr="00911773">
        <w:t xml:space="preserve">. </w:t>
      </w:r>
    </w:p>
    <w:p w:rsidR="00542A17" w:rsidRPr="00911773" w:rsidRDefault="00542A17" w:rsidP="00727DFB">
      <w:pPr>
        <w:pStyle w:val="ekvaufgabe2-4sp"/>
      </w:pPr>
      <w:r w:rsidRPr="00911773">
        <w:t>b)</w:t>
      </w:r>
      <w:r>
        <w:tab/>
      </w:r>
      <w:r w:rsidRPr="00911773">
        <w:t xml:space="preserve">Der Nachfolger der Zahl 2 ist die Zahl </w:t>
      </w:r>
      <w:r w:rsidRPr="00160E4D">
        <w:rPr>
          <w:rStyle w:val="ekvfett"/>
        </w:rPr>
        <w:t>3</w:t>
      </w:r>
      <w:r w:rsidRPr="00911773">
        <w:t>.</w:t>
      </w:r>
    </w:p>
    <w:p w:rsidR="00542A17" w:rsidRDefault="00542A17" w:rsidP="00727DFB">
      <w:pPr>
        <w:pStyle w:val="ekvaufgabe2-4sp"/>
      </w:pPr>
      <w:r w:rsidRPr="00911773">
        <w:t>c)</w:t>
      </w:r>
      <w:r>
        <w:tab/>
      </w:r>
      <w:r w:rsidRPr="00911773">
        <w:t xml:space="preserve">Die Zahl 7 ist der </w:t>
      </w:r>
      <w:r w:rsidRPr="00160E4D">
        <w:rPr>
          <w:rStyle w:val="ekvfett"/>
        </w:rPr>
        <w:t>Vorgänger</w:t>
      </w:r>
      <w:r w:rsidRPr="00911773">
        <w:t xml:space="preserve"> der Zahl 8.</w:t>
      </w:r>
    </w:p>
    <w:p w:rsidR="00727DFB" w:rsidRPr="00911773" w:rsidRDefault="00727DFB" w:rsidP="00727DFB">
      <w:pPr>
        <w:pStyle w:val="ekvgrundtexthalbe"/>
      </w:pPr>
    </w:p>
    <w:p w:rsidR="00542A17" w:rsidRPr="00727DFB" w:rsidRDefault="00542A17" w:rsidP="00727DFB">
      <w:pPr>
        <w:pStyle w:val="ekvaufgabe2-4sp"/>
      </w:pPr>
      <w:r w:rsidRPr="008E1AC7">
        <w:rPr>
          <w:rStyle w:val="ekvnummerierung"/>
        </w:rPr>
        <w:t>2</w:t>
      </w:r>
      <w:r>
        <w:rPr>
          <w:rStyle w:val="ekvnummerierung"/>
        </w:rPr>
        <w:tab/>
      </w:r>
      <w:r w:rsidR="003A306F" w:rsidRPr="00911773">
        <w:t>a)</w:t>
      </w:r>
    </w:p>
    <w:p w:rsidR="00542A17" w:rsidRDefault="003A306F" w:rsidP="003A306F">
      <w:pPr>
        <w:pStyle w:val="ekvbild"/>
      </w:pPr>
      <w:r>
        <w:rPr>
          <w:lang w:eastAsia="de-DE"/>
        </w:rPr>
        <w:drawing>
          <wp:inline distT="0" distB="0" distL="0" distR="0">
            <wp:extent cx="5968800" cy="338400"/>
            <wp:effectExtent l="0" t="0" r="0" b="5080"/>
            <wp:docPr id="17" name="Grafik 17" descr="I:\Klett_WORD\733954_LS7_NW_DUA_KONVERTIERT\Graifiken\Kapitel_01\SE96733452_G_K01_008_02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8800" cy="3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6F" w:rsidRDefault="003A306F" w:rsidP="00542A17">
      <w:pPr>
        <w:pStyle w:val="ekvgrundtexthalbe"/>
      </w:pPr>
    </w:p>
    <w:p w:rsidR="00542A17" w:rsidRPr="00911773" w:rsidRDefault="00542A17" w:rsidP="00727DFB">
      <w:pPr>
        <w:pStyle w:val="ekvaufgabe2-4sp"/>
      </w:pPr>
      <w:r w:rsidRPr="00911773">
        <w:t>b)</w:t>
      </w:r>
      <w:r>
        <w:tab/>
      </w:r>
      <w:r w:rsidRPr="00911773">
        <w:t>Der Vorgänger der Zahl 70 ist die Zahl 69. Der Nachfolger der Zahl 30 ist die Zahl 31.</w:t>
      </w:r>
    </w:p>
    <w:p w:rsidR="00542A17" w:rsidRDefault="00542A17" w:rsidP="00542A17">
      <w:pPr>
        <w:pStyle w:val="ekvgrundtexthalbe"/>
        <w:rPr>
          <w:rStyle w:val="ekvnummerierung"/>
          <w:b w:val="0"/>
        </w:rPr>
      </w:pPr>
    </w:p>
    <w:p w:rsidR="003A306F" w:rsidRDefault="003A306F" w:rsidP="003A306F">
      <w:pPr>
        <w:pStyle w:val="ekvaufgabe2-4sp"/>
        <w:rPr>
          <w:rStyle w:val="ekvnummerierung"/>
          <w:b w:val="0"/>
        </w:rPr>
      </w:pPr>
      <w:r w:rsidRPr="008E1AC7">
        <w:rPr>
          <w:rStyle w:val="ekvnummerierung"/>
        </w:rPr>
        <w:t>3</w:t>
      </w:r>
    </w:p>
    <w:p w:rsidR="00727DFB" w:rsidRDefault="003A306F" w:rsidP="003A306F">
      <w:pPr>
        <w:pStyle w:val="ekvbild"/>
        <w:rPr>
          <w:rStyle w:val="ekvnummerierung"/>
          <w:b w:val="0"/>
          <w:sz w:val="19"/>
        </w:rPr>
      </w:pPr>
      <w:r>
        <w:rPr>
          <w:lang w:eastAsia="de-DE"/>
        </w:rPr>
        <w:drawing>
          <wp:inline distT="0" distB="0" distL="0" distR="0">
            <wp:extent cx="5940000" cy="540000"/>
            <wp:effectExtent l="0" t="0" r="3810" b="0"/>
            <wp:docPr id="18" name="Grafik 18" descr="I:\Klett_WORD\733954_LS7_NW_DUA_KONVERTIERT\Graifiken\Kapitel_01\SE96733452_G_K01_008_03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06F" w:rsidRPr="003A306F" w:rsidRDefault="003A306F" w:rsidP="003A306F">
      <w:pPr>
        <w:pStyle w:val="ekvgrundtexthalbe"/>
        <w:rPr>
          <w:rStyle w:val="ekvnummerierung"/>
          <w:b w:val="0"/>
          <w:sz w:val="19"/>
        </w:rPr>
      </w:pPr>
    </w:p>
    <w:p w:rsidR="00542A17" w:rsidRDefault="00542A17" w:rsidP="00727DFB">
      <w:pPr>
        <w:pStyle w:val="ekvaufgabe2-4sp"/>
      </w:pPr>
      <w:r w:rsidRPr="008E1AC7">
        <w:rPr>
          <w:rStyle w:val="ekvnummerierung"/>
        </w:rPr>
        <w:t>4</w:t>
      </w:r>
      <w:r>
        <w:rPr>
          <w:rStyle w:val="ekvnummerierung"/>
        </w:rPr>
        <w:tab/>
      </w:r>
      <w:r w:rsidRPr="00911773">
        <w:t>Die Zahlen sind der Größe nach geordnet. Der Abstand von aufeinanderfolgenden Zahlen ist für jeden der Zahlenstrahl</w:t>
      </w:r>
      <w:r>
        <w:t>e</w:t>
      </w:r>
      <w:r w:rsidRPr="00911773">
        <w:t xml:space="preserve"> gleich, kann sich aber von Zahlenstrahl zu Zahlenstrahl unterscheiden. Die Zahlenstrahlen decken unterschiedliche Zahlenmengen ab.</w:t>
      </w:r>
    </w:p>
    <w:p w:rsidR="00542A17" w:rsidRDefault="00542A17" w:rsidP="00542A17">
      <w:pPr>
        <w:pStyle w:val="ekvgrundtexthalbe"/>
      </w:pPr>
    </w:p>
    <w:sectPr w:rsidR="00542A17" w:rsidSect="00761737">
      <w:footerReference w:type="default" r:id="rId17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AD" w:rsidRDefault="00D23BAD" w:rsidP="003C599D">
      <w:pPr>
        <w:spacing w:line="240" w:lineRule="auto"/>
      </w:pPr>
      <w:r>
        <w:separator/>
      </w:r>
    </w:p>
  </w:endnote>
  <w:endnote w:type="continuationSeparator" w:id="0">
    <w:p w:rsidR="00D23BAD" w:rsidRDefault="00D23BA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441A58" w:rsidRPr="00F42294" w:rsidTr="00441A58">
      <w:trPr>
        <w:trHeight w:hRule="exact" w:val="680"/>
      </w:trPr>
      <w:tc>
        <w:tcPr>
          <w:tcW w:w="864" w:type="dxa"/>
          <w:noWrap/>
        </w:tcPr>
        <w:p w:rsidR="00441A58" w:rsidRPr="00913892" w:rsidRDefault="00441A58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AE458F8" wp14:editId="653607D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441A58" w:rsidRPr="00913892" w:rsidRDefault="00441A58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441A58" w:rsidRPr="00E74F64" w:rsidRDefault="00441A58" w:rsidP="00441A58">
          <w:pPr>
            <w:pStyle w:val="ekvpagina"/>
            <w:rPr>
              <w:lang w:val="en-US"/>
            </w:rPr>
          </w:pPr>
          <w:r w:rsidRPr="00E74F64">
            <w:rPr>
              <w:rStyle w:val="ekvfett"/>
              <w:lang w:val="en-US"/>
            </w:rPr>
            <w:t>Autor:</w:t>
          </w:r>
          <w:r w:rsidR="007D2A59">
            <w:rPr>
              <w:lang w:val="en-US"/>
            </w:rPr>
            <w:t xml:space="preserve"> Marc André</w:t>
          </w:r>
          <w:r w:rsidRPr="00E74F64">
            <w:rPr>
              <w:lang w:val="en-US"/>
            </w:rPr>
            <w:t xml:space="preserve"> Büssing</w:t>
          </w:r>
        </w:p>
        <w:p w:rsidR="00441A58" w:rsidRPr="007075B8" w:rsidRDefault="00441A58" w:rsidP="00441A58">
          <w:pPr>
            <w:pStyle w:val="ekvpagina"/>
          </w:pPr>
          <w:r w:rsidRPr="007075B8">
            <w:rPr>
              <w:rStyle w:val="ekvfett"/>
            </w:rPr>
            <w:t>Illustrator:</w:t>
          </w:r>
          <w:r w:rsidRPr="007075B8">
            <w:t xml:space="preserve"> tiff.any GmbH, Berlin / Jennifer Wenzel</w:t>
          </w:r>
        </w:p>
        <w:p w:rsidR="00441A58" w:rsidRPr="00913892" w:rsidRDefault="00441A58" w:rsidP="00FA28A4">
          <w:pPr>
            <w:pStyle w:val="ekvquelle"/>
          </w:pPr>
        </w:p>
      </w:tc>
      <w:tc>
        <w:tcPr>
          <w:tcW w:w="813" w:type="dxa"/>
        </w:tcPr>
        <w:p w:rsidR="00441A58" w:rsidRPr="00913892" w:rsidRDefault="00441A58" w:rsidP="00441A58">
          <w:pPr>
            <w:pStyle w:val="ekvkvnummer"/>
            <w:jc w:val="right"/>
          </w:pPr>
          <w:r>
            <w:t>S</w:t>
          </w:r>
          <w:r w:rsidRPr="00731919">
            <w:rPr>
              <w:rStyle w:val="ekvabstand50prozent"/>
            </w:rPr>
            <w:t> </w:t>
          </w:r>
          <w:r>
            <w:t>8 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DE55F0" w:rsidRPr="00F42294" w:rsidTr="00FA28A4">
      <w:trPr>
        <w:trHeight w:hRule="exact" w:val="680"/>
      </w:trPr>
      <w:tc>
        <w:tcPr>
          <w:tcW w:w="864" w:type="dxa"/>
          <w:noWrap/>
        </w:tcPr>
        <w:p w:rsidR="00DE55F0" w:rsidRPr="00913892" w:rsidRDefault="00DE55F0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BF9BD5F" wp14:editId="66E2E0B1">
                <wp:extent cx="468000" cy="234000"/>
                <wp:effectExtent l="0" t="0" r="8255" b="0"/>
                <wp:docPr id="1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E55F0" w:rsidRPr="00913892" w:rsidRDefault="00DE55F0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E55F0" w:rsidRPr="00913892" w:rsidRDefault="00DE55F0" w:rsidP="00FA28A4">
          <w:pPr>
            <w:pStyle w:val="ekvquelle"/>
          </w:pPr>
        </w:p>
      </w:tc>
      <w:tc>
        <w:tcPr>
          <w:tcW w:w="813" w:type="dxa"/>
        </w:tcPr>
        <w:p w:rsidR="00DE55F0" w:rsidRPr="00913892" w:rsidRDefault="00DE55F0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AD" w:rsidRDefault="00D23BAD" w:rsidP="003C599D">
      <w:pPr>
        <w:spacing w:line="240" w:lineRule="auto"/>
      </w:pPr>
      <w:r>
        <w:separator/>
      </w:r>
    </w:p>
  </w:footnote>
  <w:footnote w:type="continuationSeparator" w:id="0">
    <w:p w:rsidR="00D23BAD" w:rsidRDefault="00D23BAD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4AC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2C78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306F"/>
    <w:rsid w:val="003A5B0C"/>
    <w:rsid w:val="003B071F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1A58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559FB"/>
    <w:rsid w:val="0056061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515"/>
    <w:rsid w:val="00715A9A"/>
    <w:rsid w:val="00716152"/>
    <w:rsid w:val="0072030B"/>
    <w:rsid w:val="00720747"/>
    <w:rsid w:val="007228A6"/>
    <w:rsid w:val="00722BE8"/>
    <w:rsid w:val="00724064"/>
    <w:rsid w:val="007244CC"/>
    <w:rsid w:val="00727DFB"/>
    <w:rsid w:val="0073042D"/>
    <w:rsid w:val="00731919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2A59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3ED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760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7BE"/>
    <w:rsid w:val="00A43B4C"/>
    <w:rsid w:val="00A478DC"/>
    <w:rsid w:val="00A663F5"/>
    <w:rsid w:val="00A701AF"/>
    <w:rsid w:val="00A70C9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3BA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430E"/>
    <w:rsid w:val="00DD6D66"/>
    <w:rsid w:val="00DD7FDA"/>
    <w:rsid w:val="00DE0869"/>
    <w:rsid w:val="00DE287B"/>
    <w:rsid w:val="00DE55F0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FB7B1-3C7F-4A38-9D0B-CA741322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16</cp:revision>
  <cp:lastPrinted>2016-12-23T16:36:00Z</cp:lastPrinted>
  <dcterms:created xsi:type="dcterms:W3CDTF">2018-02-07T08:35:00Z</dcterms:created>
  <dcterms:modified xsi:type="dcterms:W3CDTF">2018-06-12T10:19:00Z</dcterms:modified>
</cp:coreProperties>
</file>